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60" w:lineRule="auto"/>
      </w:pPr>
      <w:r>
        <w:rPr/>
        <w:t>BEPS</w:t>
      </w:r>
      <w:r>
        <w:rPr>
          <w:spacing w:val="-12"/>
        </w:rPr>
        <w:t> </w:t>
      </w:r>
      <w:r>
        <w:rPr/>
        <w:t>Multilateral</w:t>
      </w:r>
      <w:r>
        <w:rPr>
          <w:spacing w:val="-13"/>
        </w:rPr>
        <w:t> </w:t>
      </w:r>
      <w:r>
        <w:rPr/>
        <w:t>Convention</w:t>
      </w:r>
      <w:r>
        <w:rPr>
          <w:spacing w:val="-7"/>
        </w:rPr>
        <w:t> </w:t>
      </w:r>
      <w:r>
        <w:rPr/>
        <w:t>Ratification for the Russian Tax System</w:t>
      </w:r>
    </w:p>
    <w:p>
      <w:pPr>
        <w:pStyle w:val="Heading2"/>
        <w:spacing w:before="124"/>
        <w:ind w:right="8" w:firstLine="0"/>
        <w:jc w:val="center"/>
      </w:pPr>
      <w:r>
        <w:rPr>
          <w:vertAlign w:val="superscript"/>
        </w:rPr>
        <w:t>*</w:t>
      </w:r>
      <w:r>
        <w:rPr>
          <w:vertAlign w:val="baseline"/>
        </w:rPr>
        <w:t>Alexander</w:t>
      </w:r>
      <w:r>
        <w:rPr>
          <w:spacing w:val="-6"/>
          <w:vertAlign w:val="baseline"/>
        </w:rPr>
        <w:t> </w:t>
      </w:r>
      <w:r>
        <w:rPr>
          <w:vertAlign w:val="baseline"/>
        </w:rPr>
        <w:t>S.</w:t>
      </w:r>
      <w:r>
        <w:rPr>
          <w:spacing w:val="-8"/>
          <w:vertAlign w:val="baseline"/>
        </w:rPr>
        <w:t> </w:t>
      </w:r>
      <w:r>
        <w:rPr>
          <w:spacing w:val="-2"/>
          <w:vertAlign w:val="baseline"/>
        </w:rPr>
        <w:t>Kupriyanov</w:t>
      </w:r>
    </w:p>
    <w:p>
      <w:pPr>
        <w:pStyle w:val="Heading4"/>
        <w:spacing w:before="261"/>
      </w:pPr>
      <w:r>
        <w:rPr>
          <w:spacing w:val="-2"/>
        </w:rPr>
        <w:t>Abstract</w:t>
      </w:r>
    </w:p>
    <w:p>
      <w:pPr>
        <w:pStyle w:val="BodyText"/>
        <w:spacing w:before="1"/>
        <w:jc w:val="left"/>
        <w:rPr>
          <w:b/>
          <w:i/>
        </w:rPr>
      </w:pPr>
    </w:p>
    <w:p>
      <w:pPr>
        <w:spacing w:line="360" w:lineRule="auto" w:before="0"/>
        <w:ind w:left="23" w:right="652" w:firstLine="710"/>
        <w:jc w:val="both"/>
        <w:rPr>
          <w:i/>
          <w:sz w:val="20"/>
        </w:rPr>
      </w:pPr>
      <w:r>
        <w:rPr>
          <w:b/>
          <w:i/>
          <w:sz w:val="20"/>
        </w:rPr>
        <w:t>Purpose </w:t>
      </w:r>
      <w:r>
        <w:rPr>
          <w:i/>
          <w:sz w:val="20"/>
        </w:rPr>
        <w:t>– As the aim of the current research is a scientific understanding of the MLI BEPS provisions and their influence on the domestic tax system in</w:t>
      </w:r>
      <w:r>
        <w:rPr>
          <w:i/>
          <w:spacing w:val="-2"/>
          <w:sz w:val="20"/>
        </w:rPr>
        <w:t> </w:t>
      </w:r>
      <w:r>
        <w:rPr>
          <w:i/>
          <w:sz w:val="20"/>
        </w:rPr>
        <w:t>order to avoid their ambiguous perception and practical application.</w:t>
      </w:r>
    </w:p>
    <w:p>
      <w:pPr>
        <w:spacing w:line="360" w:lineRule="auto" w:before="122"/>
        <w:ind w:left="23" w:right="653" w:firstLine="710"/>
        <w:jc w:val="both"/>
        <w:rPr>
          <w:i/>
          <w:sz w:val="20"/>
        </w:rPr>
      </w:pPr>
      <w:r>
        <w:rPr>
          <w:b/>
          <w:i/>
          <w:sz w:val="20"/>
        </w:rPr>
        <w:t>Design/Methodology/Approach </w:t>
      </w:r>
      <w:r>
        <w:rPr>
          <w:i/>
          <w:sz w:val="20"/>
        </w:rPr>
        <w:t>– This paper analyzes of the consequences of the erosion of the</w:t>
      </w:r>
      <w:r>
        <w:rPr>
          <w:i/>
          <w:spacing w:val="80"/>
          <w:sz w:val="20"/>
        </w:rPr>
        <w:t> </w:t>
      </w:r>
      <w:r>
        <w:rPr>
          <w:i/>
          <w:sz w:val="20"/>
        </w:rPr>
        <w:t>tax base, the anti-evasive tools and strategies proposed in the implementation MLI BEPS. The general scientific dialectic approach helps to set the patterns and interconnection of the causes of the international tax instrument BEPS and the consequences of its ratification by the Russian Federation.</w:t>
      </w:r>
    </w:p>
    <w:p>
      <w:pPr>
        <w:spacing w:line="360" w:lineRule="auto" w:before="118"/>
        <w:ind w:left="23" w:right="655" w:firstLine="710"/>
        <w:jc w:val="both"/>
        <w:rPr>
          <w:i/>
          <w:sz w:val="20"/>
        </w:rPr>
      </w:pPr>
      <w:r>
        <w:rPr>
          <w:b/>
          <w:i/>
          <w:sz w:val="20"/>
        </w:rPr>
        <w:t>Findings </w:t>
      </w:r>
      <w:r>
        <w:rPr>
          <w:i/>
          <w:sz w:val="20"/>
        </w:rPr>
        <w:t>– Due to a vague tax system the income loss of the different countries, including Russia, gives a possibility to the unscrupulous companies to evade taxes. In practice the significant practical problems arise in connection with expanding the arsenal of protective measures for DTAA in states</w:t>
      </w:r>
      <w:r>
        <w:rPr>
          <w:i/>
          <w:spacing w:val="40"/>
          <w:sz w:val="20"/>
        </w:rPr>
        <w:t> </w:t>
      </w:r>
      <w:r>
        <w:rPr>
          <w:i/>
          <w:sz w:val="20"/>
        </w:rPr>
        <w:t>ratifying MLI BEPS.</w:t>
      </w:r>
    </w:p>
    <w:p>
      <w:pPr>
        <w:spacing w:line="360" w:lineRule="auto" w:before="123"/>
        <w:ind w:left="23" w:right="654" w:firstLine="710"/>
        <w:jc w:val="both"/>
        <w:rPr>
          <w:i/>
          <w:sz w:val="20"/>
        </w:rPr>
      </w:pPr>
      <w:r>
        <w:rPr>
          <w:b/>
          <w:i/>
          <w:sz w:val="20"/>
        </w:rPr>
        <w:t>Originality/Value </w:t>
      </w:r>
      <w:r>
        <w:rPr>
          <w:i/>
          <w:sz w:val="20"/>
        </w:rPr>
        <w:t>– Since October, 1 2019, the Multilateral Convention’s provisions have come into effect for the Russian Federation. Despite the fact that the Multilateral Convention is related to the documents of the soft force its implementation will become to be a base</w:t>
      </w:r>
      <w:r>
        <w:rPr>
          <w:i/>
          <w:spacing w:val="18"/>
          <w:sz w:val="20"/>
        </w:rPr>
        <w:t> </w:t>
      </w:r>
      <w:r>
        <w:rPr>
          <w:i/>
          <w:sz w:val="20"/>
        </w:rPr>
        <w:t>to correct the country's legislation on the issue of the prospects for its economic development and also to withdraw the multinational corporations from low-tax jurisdiction and to terminate their usage of benefits and advantages.</w:t>
      </w:r>
    </w:p>
    <w:p>
      <w:pPr>
        <w:pStyle w:val="BodyText"/>
        <w:jc w:val="left"/>
        <w:rPr>
          <w:i/>
        </w:rPr>
      </w:pPr>
    </w:p>
    <w:p>
      <w:pPr>
        <w:pStyle w:val="BodyText"/>
        <w:spacing w:before="124"/>
        <w:jc w:val="left"/>
        <w:rPr>
          <w:i/>
        </w:rPr>
      </w:pPr>
    </w:p>
    <w:p>
      <w:pPr>
        <w:spacing w:line="360" w:lineRule="auto" w:before="0"/>
        <w:ind w:left="23" w:right="653" w:firstLine="710"/>
        <w:jc w:val="both"/>
        <w:rPr>
          <w:i/>
          <w:sz w:val="20"/>
        </w:rPr>
      </w:pPr>
      <w:r>
        <w:rPr>
          <w:b/>
          <w:i/>
          <w:sz w:val="20"/>
        </w:rPr>
        <w:t>Keywords </w:t>
      </w:r>
      <w:r>
        <w:rPr>
          <w:i/>
          <w:sz w:val="20"/>
        </w:rPr>
        <w:t>taxation; OECD; erosion of the tax base and increase in profits; BEPS Multilateral tax </w:t>
      </w:r>
      <w:r>
        <w:rPr>
          <w:i/>
          <w:spacing w:val="-2"/>
          <w:sz w:val="20"/>
        </w:rPr>
        <w:t>convention.</w:t>
      </w:r>
    </w:p>
    <w:p>
      <w:pPr>
        <w:pStyle w:val="BodyText"/>
        <w:jc w:val="left"/>
        <w:rPr>
          <w:i/>
        </w:rPr>
      </w:pPr>
    </w:p>
    <w:p>
      <w:pPr>
        <w:pStyle w:val="BodyText"/>
        <w:spacing w:before="129"/>
        <w:jc w:val="left"/>
        <w:rPr>
          <w:i/>
        </w:rPr>
      </w:pPr>
    </w:p>
    <w:p>
      <w:pPr>
        <w:pStyle w:val="Heading1"/>
        <w:numPr>
          <w:ilvl w:val="0"/>
          <w:numId w:val="1"/>
        </w:numPr>
        <w:tabs>
          <w:tab w:pos="1094" w:val="left" w:leader="none"/>
        </w:tabs>
        <w:spacing w:line="240" w:lineRule="auto" w:before="0" w:after="0"/>
        <w:ind w:left="1094" w:right="0" w:hanging="514"/>
        <w:jc w:val="left"/>
      </w:pPr>
      <w:r>
        <w:rPr>
          <w:spacing w:val="-2"/>
        </w:rPr>
        <w:t>Introduction</w:t>
      </w:r>
    </w:p>
    <w:p>
      <w:pPr>
        <w:pStyle w:val="BodyText"/>
        <w:spacing w:line="360" w:lineRule="auto" w:before="256"/>
        <w:ind w:left="23" w:right="654" w:firstLine="710"/>
      </w:pPr>
      <w:r>
        <w:rPr/>
        <w:t>In recent years the international tax landscape had sharply changed as a result of economic problems</w:t>
      </w:r>
      <w:r>
        <w:rPr>
          <w:spacing w:val="-2"/>
        </w:rPr>
        <w:t> </w:t>
      </w:r>
      <w:r>
        <w:rPr/>
        <w:t>in connection with which</w:t>
      </w:r>
      <w:r>
        <w:rPr>
          <w:spacing w:val="-1"/>
        </w:rPr>
        <w:t> </w:t>
      </w:r>
      <w:r>
        <w:rPr/>
        <w:t>new</w:t>
      </w:r>
      <w:r>
        <w:rPr>
          <w:spacing w:val="-7"/>
        </w:rPr>
        <w:t> </w:t>
      </w:r>
      <w:r>
        <w:rPr/>
        <w:t>standards</w:t>
      </w:r>
      <w:r>
        <w:rPr>
          <w:spacing w:val="-3"/>
        </w:rPr>
        <w:t> </w:t>
      </w:r>
      <w:r>
        <w:rPr/>
        <w:t>were</w:t>
      </w:r>
      <w:r>
        <w:rPr>
          <w:spacing w:val="-4"/>
        </w:rPr>
        <w:t> </w:t>
      </w:r>
      <w:r>
        <w:rPr/>
        <w:t>developed</w:t>
      </w:r>
      <w:r>
        <w:rPr>
          <w:spacing w:val="-1"/>
        </w:rPr>
        <w:t> </w:t>
      </w:r>
      <w:r>
        <w:rPr/>
        <w:t>that</w:t>
      </w:r>
      <w:r>
        <w:rPr>
          <w:spacing w:val="-4"/>
        </w:rPr>
        <w:t> </w:t>
      </w:r>
      <w:r>
        <w:rPr/>
        <w:t>allowed</w:t>
      </w:r>
      <w:r>
        <w:rPr>
          <w:spacing w:val="-1"/>
        </w:rPr>
        <w:t> </w:t>
      </w:r>
      <w:r>
        <w:rPr/>
        <w:t>the</w:t>
      </w:r>
      <w:r>
        <w:rPr>
          <w:spacing w:val="-4"/>
        </w:rPr>
        <w:t> </w:t>
      </w:r>
      <w:r>
        <w:rPr/>
        <w:t>countries</w:t>
      </w:r>
      <w:r>
        <w:rPr>
          <w:spacing w:val="-3"/>
        </w:rPr>
        <w:t> </w:t>
      </w:r>
      <w:r>
        <w:rPr/>
        <w:t>to</w:t>
      </w:r>
      <w:r>
        <w:rPr>
          <w:spacing w:val="-6"/>
        </w:rPr>
        <w:t> </w:t>
      </w:r>
      <w:r>
        <w:rPr/>
        <w:t>protect their tax bases (Altshuler, 2014). According to</w:t>
      </w:r>
      <w:r>
        <w:rPr>
          <w:spacing w:val="-4"/>
        </w:rPr>
        <w:t> </w:t>
      </w:r>
      <w:r>
        <w:rPr/>
        <w:t>the</w:t>
      </w:r>
      <w:r>
        <w:rPr>
          <w:spacing w:val="-2"/>
        </w:rPr>
        <w:t> </w:t>
      </w:r>
      <w:r>
        <w:rPr/>
        <w:t>most positive</w:t>
      </w:r>
      <w:r>
        <w:rPr>
          <w:spacing w:val="-2"/>
        </w:rPr>
        <w:t> </w:t>
      </w:r>
      <w:r>
        <w:rPr/>
        <w:t>estimates,</w:t>
      </w:r>
      <w:r>
        <w:rPr>
          <w:spacing w:val="-1"/>
        </w:rPr>
        <w:t> </w:t>
      </w:r>
      <w:r>
        <w:rPr/>
        <w:t>the</w:t>
      </w:r>
      <w:r>
        <w:rPr>
          <w:spacing w:val="-2"/>
        </w:rPr>
        <w:t> </w:t>
      </w:r>
      <w:r>
        <w:rPr/>
        <w:t>annual</w:t>
      </w:r>
      <w:r>
        <w:rPr>
          <w:spacing w:val="-2"/>
        </w:rPr>
        <w:t> </w:t>
      </w:r>
      <w:r>
        <w:rPr/>
        <w:t>loss of</w:t>
      </w:r>
      <w:r>
        <w:rPr>
          <w:spacing w:val="-4"/>
        </w:rPr>
        <w:t> </w:t>
      </w:r>
      <w:r>
        <w:rPr/>
        <w:t>income</w:t>
      </w:r>
      <w:r>
        <w:rPr>
          <w:spacing w:val="-2"/>
        </w:rPr>
        <w:t> </w:t>
      </w:r>
      <w:r>
        <w:rPr/>
        <w:t>is from 100 to</w:t>
      </w:r>
      <w:r>
        <w:rPr>
          <w:spacing w:val="-4"/>
        </w:rPr>
        <w:t> </w:t>
      </w:r>
      <w:r>
        <w:rPr/>
        <w:t>240 billion US</w:t>
      </w:r>
      <w:r>
        <w:rPr>
          <w:spacing w:val="-1"/>
        </w:rPr>
        <w:t> </w:t>
      </w:r>
      <w:r>
        <w:rPr/>
        <w:t>dollars because of Base Erosion and Profit Shifting (further – BEPS) that causes</w:t>
      </w:r>
      <w:r>
        <w:rPr>
          <w:spacing w:val="-1"/>
        </w:rPr>
        <w:t> </w:t>
      </w:r>
      <w:r>
        <w:rPr/>
        <w:t>financial damage to many states around the world (Austry </w:t>
      </w:r>
      <w:r>
        <w:rPr>
          <w:i/>
        </w:rPr>
        <w:t>et al</w:t>
      </w:r>
      <w:r>
        <w:rPr/>
        <w:t>., 2016).</w:t>
      </w:r>
    </w:p>
    <w:p>
      <w:pPr>
        <w:pStyle w:val="BodyText"/>
        <w:jc w:val="left"/>
      </w:pPr>
    </w:p>
    <w:p>
      <w:pPr>
        <w:pStyle w:val="BodyText"/>
        <w:spacing w:before="99"/>
        <w:jc w:val="left"/>
      </w:pPr>
      <w:r>
        <w:rPr/>
        <mc:AlternateContent>
          <mc:Choice Requires="wps">
            <w:drawing>
              <wp:anchor distT="0" distB="0" distL="0" distR="0" allowOverlap="1" layoutInCell="1" locked="0" behindDoc="1" simplePos="0" relativeHeight="487587840">
                <wp:simplePos x="0" y="0"/>
                <wp:positionH relativeFrom="page">
                  <wp:posOffset>1366138</wp:posOffset>
                </wp:positionH>
                <wp:positionV relativeFrom="paragraph">
                  <wp:posOffset>224740</wp:posOffset>
                </wp:positionV>
                <wp:extent cx="1829435"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7.57pt;margin-top:17.696074pt;width:144.050pt;height:.71997pt;mso-position-horizontal-relative:page;mso-position-vertical-relative:paragraph;z-index:-15728640;mso-wrap-distance-left:0;mso-wrap-distance-right:0" id="docshape7" filled="true" fillcolor="#000000" stroked="false">
                <v:fill type="solid"/>
                <w10:wrap type="topAndBottom"/>
              </v:rect>
            </w:pict>
          </mc:Fallback>
        </mc:AlternateContent>
      </w:r>
    </w:p>
    <w:p>
      <w:pPr>
        <w:pStyle w:val="BodyText"/>
        <w:spacing w:before="103"/>
        <w:jc w:val="left"/>
        <w:rPr>
          <w:sz w:val="16"/>
        </w:rPr>
      </w:pPr>
    </w:p>
    <w:p>
      <w:pPr>
        <w:spacing w:before="1"/>
        <w:ind w:left="23" w:right="0" w:firstLine="0"/>
        <w:jc w:val="left"/>
        <w:rPr>
          <w:sz w:val="16"/>
        </w:rPr>
      </w:pPr>
      <w:r>
        <w:rPr>
          <w:position w:val="5"/>
          <w:sz w:val="10"/>
        </w:rPr>
        <w:t>1</w:t>
      </w:r>
      <w:r>
        <w:rPr>
          <w:spacing w:val="26"/>
          <w:position w:val="5"/>
          <w:sz w:val="10"/>
        </w:rPr>
        <w:t> </w:t>
      </w:r>
      <w:r>
        <w:rPr>
          <w:sz w:val="16"/>
        </w:rPr>
        <w:t>Chamber</w:t>
      </w:r>
      <w:r>
        <w:rPr>
          <w:spacing w:val="1"/>
          <w:sz w:val="16"/>
        </w:rPr>
        <w:t> </w:t>
      </w:r>
      <w:r>
        <w:rPr>
          <w:sz w:val="16"/>
        </w:rPr>
        <w:t>of</w:t>
      </w:r>
      <w:r>
        <w:rPr>
          <w:spacing w:val="-5"/>
          <w:sz w:val="16"/>
        </w:rPr>
        <w:t> </w:t>
      </w:r>
      <w:r>
        <w:rPr>
          <w:sz w:val="16"/>
        </w:rPr>
        <w:t>Lawyers</w:t>
      </w:r>
      <w:r>
        <w:rPr>
          <w:spacing w:val="-3"/>
          <w:sz w:val="16"/>
        </w:rPr>
        <w:t> </w:t>
      </w:r>
      <w:r>
        <w:rPr>
          <w:sz w:val="16"/>
        </w:rPr>
        <w:t>of</w:t>
      </w:r>
      <w:r>
        <w:rPr>
          <w:spacing w:val="-4"/>
          <w:sz w:val="16"/>
        </w:rPr>
        <w:t> </w:t>
      </w:r>
      <w:r>
        <w:rPr>
          <w:sz w:val="16"/>
        </w:rPr>
        <w:t>the</w:t>
      </w:r>
      <w:r>
        <w:rPr>
          <w:spacing w:val="-4"/>
          <w:sz w:val="16"/>
        </w:rPr>
        <w:t> </w:t>
      </w:r>
      <w:r>
        <w:rPr>
          <w:sz w:val="16"/>
        </w:rPr>
        <w:t>Trans-Baikal</w:t>
      </w:r>
      <w:r>
        <w:rPr>
          <w:spacing w:val="-5"/>
          <w:sz w:val="16"/>
        </w:rPr>
        <w:t> </w:t>
      </w:r>
      <w:r>
        <w:rPr>
          <w:spacing w:val="-2"/>
          <w:sz w:val="16"/>
        </w:rPr>
        <w:t>Territory</w:t>
      </w:r>
    </w:p>
    <w:p>
      <w:pPr>
        <w:spacing w:after="0"/>
        <w:jc w:val="left"/>
        <w:rPr>
          <w:sz w:val="16"/>
        </w:rPr>
        <w:sectPr>
          <w:headerReference w:type="even" r:id="rId5"/>
          <w:headerReference w:type="default" r:id="rId6"/>
          <w:footerReference w:type="even" r:id="rId7"/>
          <w:footerReference w:type="default" r:id="rId8"/>
          <w:type w:val="continuous"/>
          <w:pgSz w:w="11910" w:h="16840"/>
          <w:pgMar w:header="709" w:footer="695" w:top="1320" w:bottom="880" w:left="1417" w:right="1133"/>
          <w:pgNumType w:start="11234"/>
        </w:sectPr>
      </w:pPr>
    </w:p>
    <w:p>
      <w:pPr>
        <w:pStyle w:val="BodyText"/>
        <w:spacing w:line="360" w:lineRule="auto" w:before="91"/>
        <w:ind w:left="378" w:right="298" w:firstLine="710"/>
      </w:pPr>
      <w:r>
        <w:rPr/>
        <w:t>The problem of the counteraction to BEPS is not new. Some states had adopted the laws against double</w:t>
      </w:r>
      <w:r>
        <w:rPr>
          <w:spacing w:val="-2"/>
        </w:rPr>
        <w:t> </w:t>
      </w:r>
      <w:r>
        <w:rPr/>
        <w:t>taxation since 20s of</w:t>
      </w:r>
      <w:r>
        <w:rPr>
          <w:spacing w:val="-4"/>
        </w:rPr>
        <w:t> </w:t>
      </w:r>
      <w:r>
        <w:rPr/>
        <w:t>the</w:t>
      </w:r>
      <w:r>
        <w:rPr>
          <w:spacing w:val="-2"/>
        </w:rPr>
        <w:t> </w:t>
      </w:r>
      <w:r>
        <w:rPr/>
        <w:t>last century. The</w:t>
      </w:r>
      <w:r>
        <w:rPr>
          <w:spacing w:val="-2"/>
        </w:rPr>
        <w:t> </w:t>
      </w:r>
      <w:r>
        <w:rPr/>
        <w:t>problem has been discussed for more</w:t>
      </w:r>
      <w:r>
        <w:rPr>
          <w:spacing w:val="-2"/>
        </w:rPr>
        <w:t> </w:t>
      </w:r>
      <w:r>
        <w:rPr/>
        <w:t>than 20 years on the international level (Danone and Salome, 2017).</w:t>
      </w:r>
    </w:p>
    <w:p>
      <w:pPr>
        <w:pStyle w:val="BodyText"/>
        <w:spacing w:line="360" w:lineRule="auto" w:before="123"/>
        <w:ind w:left="378" w:right="298" w:firstLine="710"/>
      </w:pPr>
      <w:r>
        <w:rPr/>
        <w:t>Modern transnational corporations use actively the loopholes in international tax treaties to erode the tax base and to move profits, developing the strategies of tax planning. Corporate business profits are claimed in jurisdictions where the corresponding tax rates are minimal. For example, in 2017 US Corporation Google avoided the</w:t>
      </w:r>
      <w:r>
        <w:rPr>
          <w:spacing w:val="-1"/>
        </w:rPr>
        <w:t> </w:t>
      </w:r>
      <w:r>
        <w:rPr/>
        <w:t>payment of 22.7 billion US dollars transferring profit to</w:t>
      </w:r>
      <w:r>
        <w:rPr>
          <w:spacing w:val="-3"/>
        </w:rPr>
        <w:t> </w:t>
      </w:r>
      <w:r>
        <w:rPr/>
        <w:t>subsidiary</w:t>
      </w:r>
      <w:r>
        <w:rPr>
          <w:spacing w:val="-1"/>
        </w:rPr>
        <w:t> </w:t>
      </w:r>
      <w:r>
        <w:rPr/>
        <w:t>Google Ireland Holdings that was registered on Bermuda. By the end of 2017 financial year, the company Apple accumulated in various holdings, located all around the world,</w:t>
      </w:r>
      <w:r>
        <w:rPr>
          <w:spacing w:val="17"/>
        </w:rPr>
        <w:t> </w:t>
      </w:r>
      <w:r>
        <w:rPr/>
        <w:t>252 billion dollars avoiding tax deductions</w:t>
      </w:r>
      <w:r>
        <w:rPr>
          <w:spacing w:val="40"/>
        </w:rPr>
        <w:t> </w:t>
      </w:r>
      <w:r>
        <w:rPr/>
        <w:t>to the US budget.</w:t>
      </w:r>
    </w:p>
    <w:p>
      <w:pPr>
        <w:pStyle w:val="BodyText"/>
        <w:spacing w:line="360" w:lineRule="auto" w:before="120"/>
        <w:ind w:left="378" w:right="296" w:firstLine="710"/>
      </w:pPr>
      <w:r>
        <w:rPr/>
        <w:t>The widely spread BEPS problem presents in the Russian Federation as well. After reaching ten-year low</w:t>
      </w:r>
      <w:r>
        <w:rPr>
          <w:spacing w:val="-6"/>
        </w:rPr>
        <w:t> </w:t>
      </w:r>
      <w:r>
        <w:rPr/>
        <w:t>in 2018,</w:t>
      </w:r>
      <w:r>
        <w:rPr>
          <w:spacing w:val="-2"/>
        </w:rPr>
        <w:t> </w:t>
      </w:r>
      <w:r>
        <w:rPr/>
        <w:t>increase</w:t>
      </w:r>
      <w:r>
        <w:rPr>
          <w:spacing w:val="-3"/>
        </w:rPr>
        <w:t> </w:t>
      </w:r>
      <w:r>
        <w:rPr/>
        <w:t>of foreign direct investment</w:t>
      </w:r>
      <w:r>
        <w:rPr>
          <w:spacing w:val="-3"/>
        </w:rPr>
        <w:t> </w:t>
      </w:r>
      <w:r>
        <w:rPr/>
        <w:t>in the</w:t>
      </w:r>
      <w:r>
        <w:rPr>
          <w:spacing w:val="-3"/>
        </w:rPr>
        <w:t> </w:t>
      </w:r>
      <w:r>
        <w:rPr/>
        <w:t>country’s</w:t>
      </w:r>
      <w:r>
        <w:rPr>
          <w:spacing w:val="-2"/>
        </w:rPr>
        <w:t> </w:t>
      </w:r>
      <w:r>
        <w:rPr/>
        <w:t>economy</w:t>
      </w:r>
      <w:r>
        <w:rPr>
          <w:spacing w:val="-3"/>
        </w:rPr>
        <w:t> </w:t>
      </w:r>
      <w:r>
        <w:rPr/>
        <w:t>can be</w:t>
      </w:r>
      <w:r>
        <w:rPr>
          <w:spacing w:val="-3"/>
        </w:rPr>
        <w:t> </w:t>
      </w:r>
      <w:r>
        <w:rPr/>
        <w:t>seen in 2019 (Bank of Russia, 2019). But their structure remains the same: the major cash flow injections come from Hong Kong, Cyprus, the Netherlands, and some offshore microstates of Western Europe (Bershidsky, 2019).</w:t>
      </w:r>
    </w:p>
    <w:p>
      <w:pPr>
        <w:pStyle w:val="BodyText"/>
        <w:spacing w:line="360" w:lineRule="auto" w:before="118"/>
        <w:ind w:left="378" w:right="298" w:firstLine="710"/>
      </w:pPr>
      <w:r>
        <w:rPr/>
        <w:t>The problem of BEPS counteractions has global nature and that is why careful work at the legislative and enforcement level is needed to minimize the consequences and to improve the investment climate of Russia.</w:t>
      </w:r>
    </w:p>
    <w:p>
      <w:pPr>
        <w:pStyle w:val="BodyText"/>
        <w:spacing w:line="360" w:lineRule="auto" w:before="122"/>
        <w:ind w:left="378" w:right="300" w:firstLine="710"/>
      </w:pPr>
      <w:r>
        <w:rPr/>
        <w:t>In the framework of the current research there is analysis of the following strategies, instruments and mechanisms of the counteractions proposed for the implementation of MLI BEPS:</w:t>
      </w:r>
    </w:p>
    <w:p>
      <w:pPr>
        <w:pStyle w:val="ListParagraph"/>
        <w:numPr>
          <w:ilvl w:val="0"/>
          <w:numId w:val="2"/>
        </w:numPr>
        <w:tabs>
          <w:tab w:pos="1265" w:val="left" w:leader="none"/>
        </w:tabs>
        <w:spacing w:line="240" w:lineRule="auto" w:before="122" w:after="0"/>
        <w:ind w:left="1265" w:right="0" w:hanging="176"/>
        <w:jc w:val="both"/>
        <w:rPr>
          <w:sz w:val="20"/>
        </w:rPr>
      </w:pPr>
      <w:r>
        <w:rPr>
          <w:sz w:val="20"/>
        </w:rPr>
        <w:t>Principal</w:t>
      </w:r>
      <w:r>
        <w:rPr>
          <w:spacing w:val="-9"/>
          <w:sz w:val="20"/>
        </w:rPr>
        <w:t> </w:t>
      </w:r>
      <w:r>
        <w:rPr>
          <w:sz w:val="20"/>
        </w:rPr>
        <w:t>purpose</w:t>
      </w:r>
      <w:r>
        <w:rPr>
          <w:spacing w:val="-9"/>
          <w:sz w:val="20"/>
        </w:rPr>
        <w:t> </w:t>
      </w:r>
      <w:r>
        <w:rPr>
          <w:sz w:val="20"/>
        </w:rPr>
        <w:t>test</w:t>
      </w:r>
      <w:r>
        <w:rPr>
          <w:spacing w:val="-3"/>
          <w:sz w:val="20"/>
        </w:rPr>
        <w:t> </w:t>
      </w:r>
      <w:r>
        <w:rPr>
          <w:sz w:val="20"/>
        </w:rPr>
        <w:t>(Action</w:t>
      </w:r>
      <w:r>
        <w:rPr>
          <w:spacing w:val="-6"/>
          <w:sz w:val="20"/>
        </w:rPr>
        <w:t> </w:t>
      </w:r>
      <w:r>
        <w:rPr>
          <w:sz w:val="20"/>
        </w:rPr>
        <w:t>6.,</w:t>
      </w:r>
      <w:r>
        <w:rPr>
          <w:spacing w:val="-4"/>
          <w:sz w:val="20"/>
        </w:rPr>
        <w:t> </w:t>
      </w:r>
      <w:r>
        <w:rPr>
          <w:sz w:val="20"/>
        </w:rPr>
        <w:t>further</w:t>
      </w:r>
      <w:r>
        <w:rPr>
          <w:spacing w:val="-5"/>
          <w:sz w:val="20"/>
        </w:rPr>
        <w:t> </w:t>
      </w:r>
      <w:r>
        <w:rPr>
          <w:sz w:val="20"/>
        </w:rPr>
        <w:t>-</w:t>
      </w:r>
      <w:r>
        <w:rPr>
          <w:spacing w:val="-6"/>
          <w:sz w:val="20"/>
        </w:rPr>
        <w:t> </w:t>
      </w:r>
      <w:r>
        <w:rPr>
          <w:spacing w:val="-4"/>
          <w:sz w:val="20"/>
        </w:rPr>
        <w:t>PPT)</w:t>
      </w:r>
    </w:p>
    <w:p>
      <w:pPr>
        <w:pStyle w:val="BodyText"/>
        <w:jc w:val="left"/>
      </w:pPr>
    </w:p>
    <w:p>
      <w:pPr>
        <w:pStyle w:val="ListParagraph"/>
        <w:numPr>
          <w:ilvl w:val="0"/>
          <w:numId w:val="2"/>
        </w:numPr>
        <w:tabs>
          <w:tab w:pos="1265" w:val="left" w:leader="none"/>
        </w:tabs>
        <w:spacing w:line="240" w:lineRule="auto" w:before="0" w:after="0"/>
        <w:ind w:left="1265" w:right="0" w:hanging="176"/>
        <w:jc w:val="both"/>
        <w:rPr>
          <w:sz w:val="20"/>
        </w:rPr>
      </w:pPr>
      <w:r>
        <w:rPr>
          <w:sz w:val="20"/>
        </w:rPr>
        <w:t>Simplified</w:t>
      </w:r>
      <w:r>
        <w:rPr>
          <w:spacing w:val="-8"/>
          <w:sz w:val="20"/>
        </w:rPr>
        <w:t> </w:t>
      </w:r>
      <w:r>
        <w:rPr>
          <w:sz w:val="20"/>
        </w:rPr>
        <w:t>Limitation</w:t>
      </w:r>
      <w:r>
        <w:rPr>
          <w:spacing w:val="-7"/>
          <w:sz w:val="20"/>
        </w:rPr>
        <w:t> </w:t>
      </w:r>
      <w:r>
        <w:rPr>
          <w:sz w:val="20"/>
        </w:rPr>
        <w:t>of</w:t>
      </w:r>
      <w:r>
        <w:rPr>
          <w:spacing w:val="-11"/>
          <w:sz w:val="20"/>
        </w:rPr>
        <w:t> </w:t>
      </w:r>
      <w:r>
        <w:rPr>
          <w:sz w:val="20"/>
        </w:rPr>
        <w:t>benefits</w:t>
      </w:r>
      <w:r>
        <w:rPr>
          <w:spacing w:val="-5"/>
          <w:sz w:val="20"/>
        </w:rPr>
        <w:t> </w:t>
      </w:r>
      <w:r>
        <w:rPr>
          <w:sz w:val="20"/>
        </w:rPr>
        <w:t>(further</w:t>
      </w:r>
      <w:r>
        <w:rPr>
          <w:spacing w:val="-6"/>
          <w:sz w:val="20"/>
        </w:rPr>
        <w:t> </w:t>
      </w:r>
      <w:r>
        <w:rPr>
          <w:sz w:val="20"/>
        </w:rPr>
        <w:t>-</w:t>
      </w:r>
      <w:r>
        <w:rPr>
          <w:spacing w:val="-7"/>
          <w:sz w:val="20"/>
        </w:rPr>
        <w:t> </w:t>
      </w:r>
      <w:r>
        <w:rPr>
          <w:spacing w:val="-4"/>
          <w:sz w:val="20"/>
        </w:rPr>
        <w:t>LOB)</w:t>
      </w:r>
    </w:p>
    <w:p>
      <w:pPr>
        <w:pStyle w:val="BodyText"/>
        <w:spacing w:before="6"/>
        <w:jc w:val="left"/>
      </w:pPr>
    </w:p>
    <w:p>
      <w:pPr>
        <w:pStyle w:val="ListParagraph"/>
        <w:numPr>
          <w:ilvl w:val="0"/>
          <w:numId w:val="2"/>
        </w:numPr>
        <w:tabs>
          <w:tab w:pos="1265" w:val="left" w:leader="none"/>
        </w:tabs>
        <w:spacing w:line="240" w:lineRule="auto" w:before="0" w:after="0"/>
        <w:ind w:left="1265" w:right="0" w:hanging="176"/>
        <w:jc w:val="both"/>
        <w:rPr>
          <w:sz w:val="20"/>
        </w:rPr>
      </w:pPr>
      <w:r>
        <w:rPr>
          <w:sz w:val="20"/>
        </w:rPr>
        <w:t>Permanent</w:t>
      </w:r>
      <w:r>
        <w:rPr>
          <w:spacing w:val="-13"/>
          <w:sz w:val="20"/>
        </w:rPr>
        <w:t> </w:t>
      </w:r>
      <w:r>
        <w:rPr>
          <w:sz w:val="20"/>
        </w:rPr>
        <w:t>establishment</w:t>
      </w:r>
      <w:r>
        <w:rPr>
          <w:spacing w:val="-4"/>
          <w:sz w:val="20"/>
        </w:rPr>
        <w:t> </w:t>
      </w:r>
      <w:r>
        <w:rPr>
          <w:sz w:val="20"/>
        </w:rPr>
        <w:t>(Action</w:t>
      </w:r>
      <w:r>
        <w:rPr>
          <w:spacing w:val="-8"/>
          <w:sz w:val="20"/>
        </w:rPr>
        <w:t> </w:t>
      </w:r>
      <w:r>
        <w:rPr>
          <w:sz w:val="20"/>
        </w:rPr>
        <w:t>7.,</w:t>
      </w:r>
      <w:r>
        <w:rPr>
          <w:spacing w:val="-9"/>
          <w:sz w:val="20"/>
        </w:rPr>
        <w:t> </w:t>
      </w:r>
      <w:r>
        <w:rPr>
          <w:sz w:val="20"/>
        </w:rPr>
        <w:t>further</w:t>
      </w:r>
      <w:r>
        <w:rPr>
          <w:spacing w:val="-7"/>
          <w:sz w:val="20"/>
        </w:rPr>
        <w:t> </w:t>
      </w:r>
      <w:r>
        <w:rPr>
          <w:sz w:val="20"/>
        </w:rPr>
        <w:t>-</w:t>
      </w:r>
      <w:r>
        <w:rPr>
          <w:spacing w:val="-10"/>
          <w:sz w:val="20"/>
        </w:rPr>
        <w:t> </w:t>
      </w:r>
      <w:r>
        <w:rPr>
          <w:spacing w:val="-5"/>
          <w:sz w:val="20"/>
        </w:rPr>
        <w:t>PE)</w:t>
      </w:r>
    </w:p>
    <w:p>
      <w:pPr>
        <w:pStyle w:val="BodyText"/>
        <w:spacing w:before="6"/>
        <w:jc w:val="left"/>
      </w:pPr>
    </w:p>
    <w:p>
      <w:pPr>
        <w:pStyle w:val="ListParagraph"/>
        <w:numPr>
          <w:ilvl w:val="0"/>
          <w:numId w:val="2"/>
        </w:numPr>
        <w:tabs>
          <w:tab w:pos="1261" w:val="left" w:leader="none"/>
        </w:tabs>
        <w:spacing w:line="240" w:lineRule="auto" w:before="0" w:after="0"/>
        <w:ind w:left="1261" w:right="0" w:hanging="172"/>
        <w:jc w:val="both"/>
        <w:rPr>
          <w:sz w:val="20"/>
        </w:rPr>
      </w:pPr>
      <w:r>
        <w:rPr>
          <w:sz w:val="20"/>
        </w:rPr>
        <w:t>Tax</w:t>
      </w:r>
      <w:r>
        <w:rPr>
          <w:spacing w:val="-6"/>
          <w:sz w:val="20"/>
        </w:rPr>
        <w:t> </w:t>
      </w:r>
      <w:r>
        <w:rPr>
          <w:sz w:val="20"/>
        </w:rPr>
        <w:t>Treaty</w:t>
      </w:r>
      <w:r>
        <w:rPr>
          <w:spacing w:val="-8"/>
          <w:sz w:val="20"/>
        </w:rPr>
        <w:t> </w:t>
      </w:r>
      <w:r>
        <w:rPr>
          <w:spacing w:val="-2"/>
          <w:sz w:val="20"/>
        </w:rPr>
        <w:t>Arbitration.</w:t>
      </w:r>
    </w:p>
    <w:p>
      <w:pPr>
        <w:pStyle w:val="BodyText"/>
        <w:spacing w:before="6"/>
        <w:jc w:val="left"/>
      </w:pPr>
    </w:p>
    <w:p>
      <w:pPr>
        <w:pStyle w:val="BodyText"/>
        <w:spacing w:line="360" w:lineRule="auto"/>
        <w:ind w:left="378" w:right="293" w:firstLine="710"/>
      </w:pPr>
      <w:r>
        <w:rPr/>
        <w:t>The main advantage of the Multilateral convention can be expressed by the formula “one negotiation, one signing, one ratification” that was formulated by OECD in Legal note on the operation of MLI in accordance with public international law (OECD, 2015).</w:t>
      </w:r>
    </w:p>
    <w:p>
      <w:pPr>
        <w:pStyle w:val="BodyText"/>
        <w:jc w:val="left"/>
      </w:pPr>
    </w:p>
    <w:p>
      <w:pPr>
        <w:pStyle w:val="BodyText"/>
        <w:spacing w:before="129"/>
        <w:jc w:val="left"/>
      </w:pPr>
    </w:p>
    <w:p>
      <w:pPr>
        <w:pStyle w:val="Heading1"/>
        <w:numPr>
          <w:ilvl w:val="0"/>
          <w:numId w:val="1"/>
        </w:numPr>
        <w:tabs>
          <w:tab w:pos="1449" w:val="left" w:leader="none"/>
        </w:tabs>
        <w:spacing w:line="240" w:lineRule="auto" w:before="0" w:after="0"/>
        <w:ind w:left="1449" w:right="0" w:hanging="609"/>
        <w:jc w:val="left"/>
      </w:pPr>
      <w:r>
        <w:rPr/>
        <w:t>Literature</w:t>
      </w:r>
      <w:r>
        <w:rPr>
          <w:spacing w:val="-7"/>
        </w:rPr>
        <w:t> </w:t>
      </w:r>
      <w:r>
        <w:rPr>
          <w:spacing w:val="-2"/>
        </w:rPr>
        <w:t>Review</w:t>
      </w:r>
    </w:p>
    <w:p>
      <w:pPr>
        <w:pStyle w:val="BodyText"/>
        <w:spacing w:line="360" w:lineRule="auto" w:before="256"/>
        <w:ind w:left="378" w:right="297" w:firstLine="710"/>
      </w:pPr>
      <w:r>
        <w:rPr/>
        <w:t>Tax revenues are one of the main</w:t>
      </w:r>
      <w:r>
        <w:rPr>
          <w:spacing w:val="40"/>
        </w:rPr>
        <w:t> </w:t>
      </w:r>
      <w:r>
        <w:rPr/>
        <w:t>types</w:t>
      </w:r>
      <w:r>
        <w:rPr>
          <w:spacing w:val="40"/>
        </w:rPr>
        <w:t> </w:t>
      </w:r>
      <w:r>
        <w:rPr/>
        <w:t>of financing of the state and it seeks to receive all payments in full as well as minimize offenses in this area. “Online mechanisms allow modern Russian companies to develop electronic document turnover and electronic tax accounting and will stimulate automatization of the system of tax administration, which is a positive tendency” (Vandina Mkrtychan, Denisov, and Vechkinzova, 2018). Nevertheless, despite all the efforts of state fiscal services, there are legislative loopholes for tax evasion. “The shadow economy problem has existed since the period of permanent</w:t>
      </w:r>
      <w:r>
        <w:rPr>
          <w:spacing w:val="66"/>
        </w:rPr>
        <w:t> </w:t>
      </w:r>
      <w:r>
        <w:rPr/>
        <w:t>spread</w:t>
      </w:r>
      <w:r>
        <w:rPr>
          <w:spacing w:val="64"/>
        </w:rPr>
        <w:t> </w:t>
      </w:r>
      <w:r>
        <w:rPr/>
        <w:t>of</w:t>
      </w:r>
      <w:r>
        <w:rPr>
          <w:spacing w:val="60"/>
        </w:rPr>
        <w:t> </w:t>
      </w:r>
      <w:r>
        <w:rPr/>
        <w:t>markets</w:t>
      </w:r>
      <w:r>
        <w:rPr>
          <w:spacing w:val="63"/>
        </w:rPr>
        <w:t> </w:t>
      </w:r>
      <w:r>
        <w:rPr/>
        <w:t>and</w:t>
      </w:r>
      <w:r>
        <w:rPr>
          <w:spacing w:val="64"/>
        </w:rPr>
        <w:t> </w:t>
      </w:r>
      <w:r>
        <w:rPr/>
        <w:t>fiscal</w:t>
      </w:r>
      <w:r>
        <w:rPr>
          <w:spacing w:val="66"/>
        </w:rPr>
        <w:t> </w:t>
      </w:r>
      <w:r>
        <w:rPr/>
        <w:t>system</w:t>
      </w:r>
      <w:r>
        <w:rPr>
          <w:spacing w:val="15"/>
        </w:rPr>
        <w:t> </w:t>
      </w:r>
      <w:r>
        <w:rPr/>
        <w:t>consolidation</w:t>
      </w:r>
      <w:r>
        <w:rPr>
          <w:spacing w:val="69"/>
        </w:rPr>
        <w:t> </w:t>
      </w:r>
      <w:r>
        <w:rPr/>
        <w:t>as the</w:t>
      </w:r>
      <w:r>
        <w:rPr>
          <w:spacing w:val="61"/>
        </w:rPr>
        <w:t> </w:t>
      </w:r>
      <w:r>
        <w:rPr/>
        <w:t>basis for</w:t>
      </w:r>
      <w:r>
        <w:rPr>
          <w:spacing w:val="69"/>
        </w:rPr>
        <w:t> </w:t>
      </w:r>
      <w:r>
        <w:rPr/>
        <w:t>state</w:t>
      </w:r>
      <w:r>
        <w:rPr>
          <w:spacing w:val="61"/>
        </w:rPr>
        <w:t> </w:t>
      </w:r>
      <w:r>
        <w:rPr/>
        <w:t>budget formation to</w:t>
      </w:r>
      <w:r>
        <w:rPr>
          <w:spacing w:val="71"/>
        </w:rPr>
        <w:t> </w:t>
      </w:r>
      <w:r>
        <w:rPr/>
        <w:t>strengthen</w:t>
      </w:r>
      <w:r>
        <w:rPr>
          <w:spacing w:val="13"/>
        </w:rPr>
        <w:t> </w:t>
      </w:r>
      <w:r>
        <w:rPr/>
        <w:t>the</w:t>
      </w:r>
      <w:r>
        <w:rPr>
          <w:spacing w:val="73"/>
        </w:rPr>
        <w:t> </w:t>
      </w:r>
      <w:r>
        <w:rPr/>
        <w:t>state’s</w:t>
      </w:r>
      <w:r>
        <w:rPr>
          <w:spacing w:val="11"/>
        </w:rPr>
        <w:t> </w:t>
      </w:r>
      <w:r>
        <w:rPr/>
        <w:t>defensive</w:t>
      </w:r>
      <w:r>
        <w:rPr>
          <w:spacing w:val="73"/>
        </w:rPr>
        <w:t> </w:t>
      </w:r>
      <w:r>
        <w:rPr/>
        <w:t>and</w:t>
      </w:r>
      <w:r>
        <w:rPr>
          <w:spacing w:val="76"/>
        </w:rPr>
        <w:t> </w:t>
      </w:r>
      <w:r>
        <w:rPr/>
        <w:t>social</w:t>
      </w:r>
      <w:r>
        <w:rPr>
          <w:spacing w:val="78"/>
        </w:rPr>
        <w:t> </w:t>
      </w:r>
      <w:r>
        <w:rPr/>
        <w:t>functions”</w:t>
      </w:r>
      <w:r>
        <w:rPr>
          <w:spacing w:val="16"/>
        </w:rPr>
        <w:t> </w:t>
      </w:r>
      <w:r>
        <w:rPr/>
        <w:t>(Osipov </w:t>
      </w:r>
      <w:r>
        <w:rPr>
          <w:i/>
        </w:rPr>
        <w:t>et</w:t>
      </w:r>
      <w:r>
        <w:rPr>
          <w:i/>
          <w:spacing w:val="14"/>
        </w:rPr>
        <w:t> </w:t>
      </w:r>
      <w:r>
        <w:rPr>
          <w:i/>
        </w:rPr>
        <w:t>al</w:t>
      </w:r>
      <w:r>
        <w:rPr/>
        <w:t>.,</w:t>
      </w:r>
      <w:r>
        <w:rPr>
          <w:spacing w:val="15"/>
        </w:rPr>
        <w:t> </w:t>
      </w:r>
      <w:r>
        <w:rPr/>
        <w:t>2018).</w:t>
      </w:r>
      <w:r>
        <w:rPr>
          <w:spacing w:val="15"/>
        </w:rPr>
        <w:t> </w:t>
      </w:r>
      <w:r>
        <w:rPr/>
        <w:t>Since tax</w:t>
      </w:r>
      <w:r>
        <w:rPr>
          <w:spacing w:val="13"/>
        </w:rPr>
        <w:t> </w:t>
      </w:r>
      <w:r>
        <w:rPr/>
        <w:t>differences</w:t>
      </w:r>
      <w:r>
        <w:rPr>
          <w:spacing w:val="12"/>
        </w:rPr>
        <w:t> </w:t>
      </w:r>
      <w:r>
        <w:rPr/>
        <w:t>in</w:t>
      </w:r>
    </w:p>
    <w:p>
      <w:pPr>
        <w:pStyle w:val="BodyText"/>
        <w:spacing w:after="0" w:line="360" w:lineRule="auto"/>
        <w:sectPr>
          <w:pgSz w:w="11910" w:h="16840"/>
          <w:pgMar w:header="709" w:footer="695" w:top="1320" w:bottom="880" w:left="1417" w:right="1133"/>
        </w:sectPr>
      </w:pPr>
    </w:p>
    <w:p>
      <w:pPr>
        <w:pStyle w:val="BodyText"/>
        <w:spacing w:line="360" w:lineRule="auto" w:before="91"/>
        <w:ind w:left="23" w:right="653"/>
      </w:pPr>
      <w:r>
        <w:rPr/>
        <w:t>different jurisdictions allow</w:t>
      </w:r>
      <w:r>
        <w:rPr>
          <w:spacing w:val="-5"/>
        </w:rPr>
        <w:t> </w:t>
      </w:r>
      <w:r>
        <w:rPr/>
        <w:t>to create</w:t>
      </w:r>
      <w:r>
        <w:rPr>
          <w:spacing w:val="-1"/>
        </w:rPr>
        <w:t> </w:t>
      </w:r>
      <w:r>
        <w:rPr/>
        <w:t>tax evasion schemes then it is</w:t>
      </w:r>
      <w:r>
        <w:rPr>
          <w:spacing w:val="-5"/>
        </w:rPr>
        <w:t> </w:t>
      </w:r>
      <w:r>
        <w:rPr/>
        <w:t>not possible</w:t>
      </w:r>
      <w:r>
        <w:rPr>
          <w:spacing w:val="-2"/>
        </w:rPr>
        <w:t> </w:t>
      </w:r>
      <w:r>
        <w:rPr/>
        <w:t>to solve</w:t>
      </w:r>
      <w:r>
        <w:rPr>
          <w:spacing w:val="-2"/>
        </w:rPr>
        <w:t> </w:t>
      </w:r>
      <w:r>
        <w:rPr/>
        <w:t>all the</w:t>
      </w:r>
      <w:r>
        <w:rPr>
          <w:spacing w:val="-2"/>
        </w:rPr>
        <w:t> </w:t>
      </w:r>
      <w:r>
        <w:rPr/>
        <w:t>problems of taxation by</w:t>
      </w:r>
      <w:r>
        <w:rPr>
          <w:spacing w:val="-2"/>
        </w:rPr>
        <w:t> </w:t>
      </w:r>
      <w:r>
        <w:rPr/>
        <w:t>the efforts of only</w:t>
      </w:r>
      <w:r>
        <w:rPr>
          <w:spacing w:val="-2"/>
        </w:rPr>
        <w:t> </w:t>
      </w:r>
      <w:r>
        <w:rPr/>
        <w:t>one state. “…some companies of</w:t>
      </w:r>
      <w:r>
        <w:rPr>
          <w:spacing w:val="-2"/>
        </w:rPr>
        <w:t> </w:t>
      </w:r>
      <w:r>
        <w:rPr/>
        <w:t>the sector have hidden income, pay</w:t>
      </w:r>
      <w:r>
        <w:rPr>
          <w:spacing w:val="-7"/>
        </w:rPr>
        <w:t> </w:t>
      </w:r>
      <w:r>
        <w:rPr/>
        <w:t>salaries “in envelopes” and spend some money for resolving problems with state institution” (Luzgina, 2017). In</w:t>
      </w:r>
      <w:r>
        <w:rPr>
          <w:spacing w:val="40"/>
        </w:rPr>
        <w:t> </w:t>
      </w:r>
      <w:r>
        <w:rPr/>
        <w:t>this case only the international legal regulation can eliminate the existing problem. For a long time, the problems of double taxation and tax evasion had been solved at the transnational level through bilateral agreements between separate countries.</w:t>
      </w:r>
    </w:p>
    <w:p>
      <w:pPr>
        <w:pStyle w:val="BodyText"/>
        <w:spacing w:line="360" w:lineRule="auto" w:before="120"/>
        <w:ind w:left="23" w:right="653" w:firstLine="710"/>
      </w:pPr>
      <w:r>
        <w:rPr/>
        <w:t>New money forms also require close attention of tax and law enforcement agencies since they</w:t>
      </w:r>
      <w:r>
        <w:rPr>
          <w:spacing w:val="40"/>
        </w:rPr>
        <w:t> </w:t>
      </w:r>
      <w:r>
        <w:rPr/>
        <w:t>often serve as</w:t>
      </w:r>
      <w:r>
        <w:rPr>
          <w:spacing w:val="-1"/>
        </w:rPr>
        <w:t> </w:t>
      </w:r>
      <w:r>
        <w:rPr/>
        <w:t>the</w:t>
      </w:r>
      <w:r>
        <w:rPr>
          <w:spacing w:val="-3"/>
        </w:rPr>
        <w:t> </w:t>
      </w:r>
      <w:r>
        <w:rPr/>
        <w:t>means of “illegal enrichment or proceeds of crime” (Šimonová Čentéš, and Beleš, 2019).</w:t>
      </w:r>
    </w:p>
    <w:p>
      <w:pPr>
        <w:pStyle w:val="BodyText"/>
        <w:spacing w:line="360" w:lineRule="auto" w:before="121"/>
        <w:ind w:left="23" w:right="651" w:firstLine="710"/>
      </w:pPr>
      <w:r>
        <w:rPr/>
        <w:t>The scientific literature has long drawn attention to the special role of the Organization for Economic Cooperation and Development (OECD) in the process of setting up a system of interstate</w:t>
      </w:r>
      <w:r>
        <w:rPr>
          <w:spacing w:val="40"/>
        </w:rPr>
        <w:t> </w:t>
      </w:r>
      <w:r>
        <w:rPr/>
        <w:t>relations in the tax sphere (Christians, 2009). The OECD Report on Harmful Tax Competition (1998) developed the basis for addressing the issue of nominal tax jurisdictions (the so-called “tax havens”) and harmful</w:t>
      </w:r>
      <w:r>
        <w:rPr>
          <w:spacing w:val="-2"/>
        </w:rPr>
        <w:t> </w:t>
      </w:r>
      <w:r>
        <w:rPr/>
        <w:t>preferential tax</w:t>
      </w:r>
      <w:r>
        <w:rPr>
          <w:spacing w:val="-8"/>
        </w:rPr>
        <w:t> </w:t>
      </w:r>
      <w:r>
        <w:rPr/>
        <w:t>regimes</w:t>
      </w:r>
      <w:r>
        <w:rPr>
          <w:spacing w:val="-2"/>
        </w:rPr>
        <w:t> </w:t>
      </w:r>
      <w:r>
        <w:rPr/>
        <w:t>influencing</w:t>
      </w:r>
      <w:r>
        <w:rPr>
          <w:spacing w:val="-4"/>
        </w:rPr>
        <w:t> </w:t>
      </w:r>
      <w:r>
        <w:rPr/>
        <w:t>upon tax base</w:t>
      </w:r>
      <w:r>
        <w:rPr>
          <w:spacing w:val="-2"/>
        </w:rPr>
        <w:t> </w:t>
      </w:r>
      <w:r>
        <w:rPr/>
        <w:t>of</w:t>
      </w:r>
      <w:r>
        <w:rPr>
          <w:spacing w:val="-4"/>
        </w:rPr>
        <w:t> </w:t>
      </w:r>
      <w:r>
        <w:rPr/>
        <w:t>other countries</w:t>
      </w:r>
      <w:r>
        <w:rPr>
          <w:spacing w:val="-5"/>
        </w:rPr>
        <w:t> </w:t>
      </w:r>
      <w:r>
        <w:rPr/>
        <w:t>and</w:t>
      </w:r>
      <w:r>
        <w:rPr>
          <w:spacing w:val="-4"/>
        </w:rPr>
        <w:t> </w:t>
      </w:r>
      <w:r>
        <w:rPr/>
        <w:t>distorting patterns</w:t>
      </w:r>
      <w:r>
        <w:rPr>
          <w:spacing w:val="-5"/>
        </w:rPr>
        <w:t> </w:t>
      </w:r>
      <w:r>
        <w:rPr/>
        <w:t>of</w:t>
      </w:r>
      <w:r>
        <w:rPr>
          <w:spacing w:val="-4"/>
        </w:rPr>
        <w:t> </w:t>
      </w:r>
      <w:r>
        <w:rPr/>
        <w:t>trade and investment. The</w:t>
      </w:r>
      <w:r>
        <w:rPr>
          <w:spacing w:val="-1"/>
        </w:rPr>
        <w:t> </w:t>
      </w:r>
      <w:r>
        <w:rPr/>
        <w:t>regulatory</w:t>
      </w:r>
      <w:r>
        <w:rPr>
          <w:spacing w:val="-3"/>
        </w:rPr>
        <w:t> </w:t>
      </w:r>
      <w:r>
        <w:rPr/>
        <w:t>mechanism for counteracting the erosion of the tax base assumed measures of influence on the behavior model of transnational organizations. After 20 years, in September 2013, the OECD published an ambitious and comprehensive plan to combat the erosion of the tax base and the withdrawal of profits that was supported by</w:t>
      </w:r>
      <w:r>
        <w:rPr>
          <w:spacing w:val="-4"/>
        </w:rPr>
        <w:t> </w:t>
      </w:r>
      <w:r>
        <w:rPr/>
        <w:t>G20 leaders. BEPS Plan provides for 15 actions and, as part of the last one, The Multilateral Convention to Implement Tax Treaty Related Measures to Prevent BEPS (further – MLI BEPS) prevention was adopted on November 24, 2016.</w:t>
      </w:r>
    </w:p>
    <w:p>
      <w:pPr>
        <w:pStyle w:val="BodyText"/>
        <w:spacing w:line="360" w:lineRule="auto" w:before="124"/>
        <w:ind w:left="23" w:right="654" w:firstLine="710"/>
      </w:pPr>
      <w:r>
        <w:rPr/>
        <w:t>The necessity of MLI BEPS development, as an international tax instrument of soft force, is determined by</w:t>
      </w:r>
      <w:r>
        <w:rPr>
          <w:spacing w:val="-3"/>
        </w:rPr>
        <w:t> </w:t>
      </w:r>
      <w:r>
        <w:rPr/>
        <w:t>the</w:t>
      </w:r>
      <w:r>
        <w:rPr>
          <w:spacing w:val="-1"/>
        </w:rPr>
        <w:t> </w:t>
      </w:r>
      <w:r>
        <w:rPr/>
        <w:t>fact that achieving uniformity</w:t>
      </w:r>
      <w:r>
        <w:rPr>
          <w:spacing w:val="-8"/>
        </w:rPr>
        <w:t> </w:t>
      </w:r>
      <w:r>
        <w:rPr/>
        <w:t>in tax treaties between states is a cumbersome</w:t>
      </w:r>
      <w:r>
        <w:rPr>
          <w:spacing w:val="-1"/>
        </w:rPr>
        <w:t> </w:t>
      </w:r>
      <w:r>
        <w:rPr/>
        <w:t>process and needs the corrections in more than 3 thousand documents. That is why Multilateral Convention does not make direct changes to agreements concluded between states but acts in parallel with them, “modifying” them and bringing them into line with the BEPS Plan (OECD, 2016a). Temporary conflicts between agreements and the Multilateral Convention are resolved in accordance with the principle set forth in paragraph 3 of Art. 30 of the Vienna Convention</w:t>
      </w:r>
      <w:r>
        <w:rPr>
          <w:spacing w:val="26"/>
        </w:rPr>
        <w:t> </w:t>
      </w:r>
      <w:r>
        <w:rPr/>
        <w:t>on</w:t>
      </w:r>
      <w:r>
        <w:rPr>
          <w:spacing w:val="26"/>
        </w:rPr>
        <w:t> </w:t>
      </w:r>
      <w:r>
        <w:rPr/>
        <w:t>the Law of Treaties: “A later law repeals an</w:t>
      </w:r>
      <w:r>
        <w:rPr>
          <w:spacing w:val="26"/>
        </w:rPr>
        <w:t> </w:t>
      </w:r>
      <w:r>
        <w:rPr/>
        <w:t>earlier one” (United Nation, 1987).</w:t>
      </w:r>
    </w:p>
    <w:p>
      <w:pPr>
        <w:pStyle w:val="BodyText"/>
        <w:spacing w:line="360" w:lineRule="auto" w:before="115"/>
        <w:ind w:left="23" w:right="648" w:firstLine="710"/>
      </w:pPr>
      <w:r>
        <w:rPr/>
        <w:t>In June 2017, in Paris, the representatives of 67 states signed Multilateral Convention to</w:t>
      </w:r>
      <w:r>
        <w:rPr>
          <w:spacing w:val="80"/>
        </w:rPr>
        <w:t> </w:t>
      </w:r>
      <w:r>
        <w:rPr/>
        <w:t>Implement Tax Treaty Related Measures to Prevent BEPS (further – Multilateral Convention) in order to prevent tax evasion in international relations. In scientific sources, it is often referred to as Multilateral Instrument (MLI) (OECD, 2016a).</w:t>
      </w:r>
    </w:p>
    <w:p>
      <w:pPr>
        <w:pStyle w:val="BodyText"/>
        <w:spacing w:line="360" w:lineRule="auto" w:before="124"/>
        <w:ind w:left="23" w:right="654" w:firstLine="710"/>
      </w:pPr>
      <w:r>
        <w:rPr/>
        <w:t>Even in the early stages of consideration of the concept MLI BEPS the experts predicted that it would be negatively perceived by countries with "high level of national sovereignty", including Russia.</w:t>
      </w:r>
      <w:r>
        <w:rPr>
          <w:spacing w:val="40"/>
        </w:rPr>
        <w:t> </w:t>
      </w:r>
      <w:r>
        <w:rPr/>
        <w:t>This</w:t>
      </w:r>
      <w:r>
        <w:rPr>
          <w:spacing w:val="-5"/>
        </w:rPr>
        <w:t> </w:t>
      </w:r>
      <w:r>
        <w:rPr/>
        <w:t>hypothesis turned out to</w:t>
      </w:r>
      <w:r>
        <w:rPr>
          <w:spacing w:val="-3"/>
        </w:rPr>
        <w:t> </w:t>
      </w:r>
      <w:r>
        <w:rPr/>
        <w:t>be false: The</w:t>
      </w:r>
      <w:r>
        <w:rPr>
          <w:spacing w:val="-2"/>
        </w:rPr>
        <w:t> </w:t>
      </w:r>
      <w:r>
        <w:rPr/>
        <w:t>Russian Federation signed this document on July</w:t>
      </w:r>
      <w:r>
        <w:rPr>
          <w:spacing w:val="-9"/>
        </w:rPr>
        <w:t> </w:t>
      </w:r>
      <w:r>
        <w:rPr/>
        <w:t>7, 2017</w:t>
      </w:r>
      <w:r>
        <w:rPr>
          <w:spacing w:val="-4"/>
        </w:rPr>
        <w:t> </w:t>
      </w:r>
      <w:r>
        <w:rPr/>
        <w:t>and on May</w:t>
      </w:r>
      <w:r>
        <w:rPr>
          <w:spacing w:val="-2"/>
        </w:rPr>
        <w:t> </w:t>
      </w:r>
      <w:r>
        <w:rPr/>
        <w:t>1, 2019 the Federal Law N 79-FZ about its ratification was signed (Federal Law N 79-FZ, 2019).</w:t>
      </w:r>
    </w:p>
    <w:p>
      <w:pPr>
        <w:pStyle w:val="BodyText"/>
        <w:spacing w:line="360" w:lineRule="auto" w:before="118"/>
        <w:ind w:left="23" w:right="659" w:firstLine="710"/>
      </w:pPr>
      <w:r>
        <w:rPr/>
        <w:t>An updated list of</w:t>
      </w:r>
      <w:r>
        <w:rPr>
          <w:spacing w:val="-4"/>
        </w:rPr>
        <w:t> </w:t>
      </w:r>
      <w:r>
        <w:rPr/>
        <w:t>parties of</w:t>
      </w:r>
      <w:r>
        <w:rPr>
          <w:spacing w:val="-3"/>
        </w:rPr>
        <w:t> </w:t>
      </w:r>
      <w:r>
        <w:rPr/>
        <w:t>the</w:t>
      </w:r>
      <w:r>
        <w:rPr>
          <w:spacing w:val="-2"/>
        </w:rPr>
        <w:t> </w:t>
      </w:r>
      <w:r>
        <w:rPr/>
        <w:t>Multilateral Convention, consisting of</w:t>
      </w:r>
      <w:r>
        <w:rPr>
          <w:spacing w:val="-4"/>
        </w:rPr>
        <w:t> </w:t>
      </w:r>
      <w:r>
        <w:rPr/>
        <w:t>92 countries, was published on November 26, 2019 (OECD, 2020). According to the OECD, the changes will affect more than 1,100 bilateral agreements.</w:t>
      </w:r>
    </w:p>
    <w:p>
      <w:pPr>
        <w:pStyle w:val="BodyText"/>
        <w:spacing w:after="0" w:line="360" w:lineRule="auto"/>
        <w:sectPr>
          <w:pgSz w:w="11910" w:h="16840"/>
          <w:pgMar w:header="709" w:footer="695" w:top="1320" w:bottom="880" w:left="1417" w:right="1133"/>
        </w:sectPr>
      </w:pPr>
    </w:p>
    <w:p>
      <w:pPr>
        <w:pStyle w:val="BodyText"/>
        <w:jc w:val="left"/>
        <w:rPr>
          <w:sz w:val="24"/>
        </w:rPr>
      </w:pPr>
    </w:p>
    <w:p>
      <w:pPr>
        <w:pStyle w:val="BodyText"/>
        <w:spacing w:before="6"/>
        <w:jc w:val="left"/>
        <w:rPr>
          <w:sz w:val="24"/>
        </w:rPr>
      </w:pPr>
    </w:p>
    <w:p>
      <w:pPr>
        <w:pStyle w:val="Heading2"/>
        <w:numPr>
          <w:ilvl w:val="0"/>
          <w:numId w:val="1"/>
        </w:numPr>
        <w:tabs>
          <w:tab w:pos="1449" w:val="left" w:leader="none"/>
        </w:tabs>
        <w:spacing w:line="240" w:lineRule="auto" w:before="0" w:after="0"/>
        <w:ind w:left="1449" w:right="0" w:hanging="701"/>
        <w:jc w:val="left"/>
      </w:pPr>
      <w:r>
        <w:rPr>
          <w:spacing w:val="-2"/>
        </w:rPr>
        <w:t>Methodology</w:t>
      </w:r>
    </w:p>
    <w:p>
      <w:pPr>
        <w:pStyle w:val="BodyText"/>
        <w:spacing w:line="360" w:lineRule="auto" w:before="256"/>
        <w:ind w:left="378" w:right="296" w:firstLine="710"/>
      </w:pPr>
      <w:r>
        <w:rPr/>
        <w:t>There were used such methods as analysis and synthesis, induction and deduction, detailing and summarizing the information presented in the works of domestic and foreign experts. The research was based</w:t>
      </w:r>
      <w:r>
        <w:rPr>
          <w:spacing w:val="-1"/>
        </w:rPr>
        <w:t> </w:t>
      </w:r>
      <w:r>
        <w:rPr/>
        <w:t>on the</w:t>
      </w:r>
      <w:r>
        <w:rPr>
          <w:spacing w:val="-4"/>
        </w:rPr>
        <w:t> </w:t>
      </w:r>
      <w:r>
        <w:rPr/>
        <w:t>principles</w:t>
      </w:r>
      <w:r>
        <w:rPr>
          <w:spacing w:val="-2"/>
        </w:rPr>
        <w:t> </w:t>
      </w:r>
      <w:r>
        <w:rPr/>
        <w:t>of</w:t>
      </w:r>
      <w:r>
        <w:rPr>
          <w:spacing w:val="-6"/>
        </w:rPr>
        <w:t> </w:t>
      </w:r>
      <w:r>
        <w:rPr/>
        <w:t>the</w:t>
      </w:r>
      <w:r>
        <w:rPr>
          <w:spacing w:val="-4"/>
        </w:rPr>
        <w:t> </w:t>
      </w:r>
      <w:r>
        <w:rPr/>
        <w:t>system approach</w:t>
      </w:r>
      <w:r>
        <w:rPr>
          <w:spacing w:val="-1"/>
        </w:rPr>
        <w:t> </w:t>
      </w:r>
      <w:r>
        <w:rPr/>
        <w:t>with usage</w:t>
      </w:r>
      <w:r>
        <w:rPr>
          <w:spacing w:val="-4"/>
        </w:rPr>
        <w:t> </w:t>
      </w:r>
      <w:r>
        <w:rPr/>
        <w:t>of</w:t>
      </w:r>
      <w:r>
        <w:rPr>
          <w:spacing w:val="-1"/>
        </w:rPr>
        <w:t> </w:t>
      </w:r>
      <w:r>
        <w:rPr/>
        <w:t>the comparative</w:t>
      </w:r>
      <w:r>
        <w:rPr>
          <w:spacing w:val="-3"/>
        </w:rPr>
        <w:t> </w:t>
      </w:r>
      <w:r>
        <w:rPr/>
        <w:t>and</w:t>
      </w:r>
      <w:r>
        <w:rPr>
          <w:spacing w:val="-5"/>
        </w:rPr>
        <w:t> </w:t>
      </w:r>
      <w:r>
        <w:rPr/>
        <w:t>system-structural</w:t>
      </w:r>
      <w:r>
        <w:rPr>
          <w:spacing w:val="-3"/>
        </w:rPr>
        <w:t> </w:t>
      </w:r>
      <w:r>
        <w:rPr/>
        <w:t>analysis methods of socio-economic processes. There were used the methods of system analysis of the regulatory features of anti-evasive strategies and tools at the international level</w:t>
      </w:r>
      <w:r>
        <w:rPr>
          <w:spacing w:val="31"/>
        </w:rPr>
        <w:t> </w:t>
      </w:r>
      <w:r>
        <w:rPr/>
        <w:t>and the comparison</w:t>
      </w:r>
      <w:r>
        <w:rPr>
          <w:spacing w:val="27"/>
        </w:rPr>
        <w:t> </w:t>
      </w:r>
      <w:r>
        <w:rPr/>
        <w:t>of international and domestic mechanisms of BEPS counteraction. The complex research was done and it summarized the latest innovations and ideas in Russian international tax policy that was developed as part of international tax projects implemented on the basis of the OECD.</w:t>
      </w:r>
    </w:p>
    <w:p>
      <w:pPr>
        <w:pStyle w:val="BodyText"/>
        <w:jc w:val="left"/>
      </w:pPr>
    </w:p>
    <w:p>
      <w:pPr>
        <w:pStyle w:val="BodyText"/>
        <w:spacing w:before="132"/>
        <w:jc w:val="left"/>
      </w:pPr>
    </w:p>
    <w:p>
      <w:pPr>
        <w:pStyle w:val="Heading1"/>
        <w:numPr>
          <w:ilvl w:val="0"/>
          <w:numId w:val="1"/>
        </w:numPr>
        <w:tabs>
          <w:tab w:pos="1449" w:val="left" w:leader="none"/>
        </w:tabs>
        <w:spacing w:line="240" w:lineRule="auto" w:before="0" w:after="0"/>
        <w:ind w:left="1449" w:right="0" w:hanging="686"/>
        <w:jc w:val="left"/>
      </w:pPr>
      <w:r>
        <w:rPr/>
        <w:t>Results</w:t>
      </w:r>
      <w:r>
        <w:rPr>
          <w:spacing w:val="-1"/>
        </w:rPr>
        <w:t> </w:t>
      </w:r>
      <w:r>
        <w:rPr/>
        <w:t>and </w:t>
      </w:r>
      <w:r>
        <w:rPr>
          <w:spacing w:val="-2"/>
        </w:rPr>
        <w:t>Discussion</w:t>
      </w:r>
    </w:p>
    <w:p>
      <w:pPr>
        <w:pStyle w:val="BodyText"/>
        <w:spacing w:before="206"/>
        <w:jc w:val="left"/>
        <w:rPr>
          <w:b/>
          <w:sz w:val="24"/>
        </w:rPr>
      </w:pPr>
    </w:p>
    <w:p>
      <w:pPr>
        <w:pStyle w:val="Heading3"/>
        <w:numPr>
          <w:ilvl w:val="1"/>
          <w:numId w:val="3"/>
        </w:numPr>
        <w:tabs>
          <w:tab w:pos="1449" w:val="left" w:leader="none"/>
        </w:tabs>
        <w:spacing w:line="360" w:lineRule="auto" w:before="0" w:after="0"/>
        <w:ind w:left="1449" w:right="305" w:hanging="360"/>
        <w:jc w:val="left"/>
      </w:pPr>
      <w:r>
        <w:rPr/>
        <w:t>Difficulties</w:t>
      </w:r>
      <w:r>
        <w:rPr>
          <w:spacing w:val="23"/>
        </w:rPr>
        <w:t> </w:t>
      </w:r>
      <w:r>
        <w:rPr/>
        <w:t>in interpreting</w:t>
      </w:r>
      <w:r>
        <w:rPr>
          <w:spacing w:val="23"/>
        </w:rPr>
        <w:t> </w:t>
      </w:r>
      <w:r>
        <w:rPr/>
        <w:t>the</w:t>
      </w:r>
      <w:r>
        <w:rPr>
          <w:spacing w:val="25"/>
        </w:rPr>
        <w:t> </w:t>
      </w:r>
      <w:r>
        <w:rPr/>
        <w:t>terms used by</w:t>
      </w:r>
      <w:r>
        <w:rPr>
          <w:spacing w:val="23"/>
        </w:rPr>
        <w:t> </w:t>
      </w:r>
      <w:r>
        <w:rPr/>
        <w:t>the</w:t>
      </w:r>
      <w:r>
        <w:rPr>
          <w:spacing w:val="25"/>
        </w:rPr>
        <w:t> </w:t>
      </w:r>
      <w:r>
        <w:rPr/>
        <w:t>OECD</w:t>
      </w:r>
      <w:r>
        <w:rPr>
          <w:spacing w:val="26"/>
        </w:rPr>
        <w:t> </w:t>
      </w:r>
      <w:r>
        <w:rPr/>
        <w:t>in the</w:t>
      </w:r>
      <w:r>
        <w:rPr>
          <w:spacing w:val="25"/>
        </w:rPr>
        <w:t> </w:t>
      </w:r>
      <w:r>
        <w:rPr/>
        <w:t>Principle</w:t>
      </w:r>
      <w:r>
        <w:rPr>
          <w:spacing w:val="25"/>
        </w:rPr>
        <w:t> </w:t>
      </w:r>
      <w:r>
        <w:rPr/>
        <w:t>Purpose</w:t>
      </w:r>
      <w:r>
        <w:rPr>
          <w:spacing w:val="25"/>
        </w:rPr>
        <w:t> </w:t>
      </w:r>
      <w:r>
        <w:rPr/>
        <w:t>Test </w:t>
      </w:r>
      <w:r>
        <w:rPr>
          <w:spacing w:val="-2"/>
        </w:rPr>
        <w:t>(PPT)</w:t>
      </w:r>
    </w:p>
    <w:p>
      <w:pPr>
        <w:pStyle w:val="BodyText"/>
        <w:spacing w:line="360" w:lineRule="auto" w:before="117"/>
        <w:ind w:left="378" w:right="294" w:firstLine="710"/>
      </w:pPr>
      <w:r>
        <w:rPr/>
        <w:t>Principle Purpose Test as well as Simplified Limitation of Benefits was developed in the framework of Action 6 in Plan BEPS and they were included into the minimal standard for the countries with MLI BEPS ratification. OECD proposes several </w:t>
      </w:r>
      <w:r>
        <w:rPr>
          <w:b/>
          <w:i/>
        </w:rPr>
        <w:t>variants of the usage of the Double Taxation Avoidance Agreement </w:t>
      </w:r>
      <w:r>
        <w:rPr/>
        <w:t>(DTAA): (1) rules of PPT and LOB at the same time or (2) only PPT, or (3) LOB rule supplemented by special provisions for opposing schemes with conduit companies. As known, during MLI BEPS ratification the Russian Federation extended these rules to 71 DTAA out of 82 functioning. Besides it, Russia chose the most comprehensive option for implementing the Convention including not</w:t>
      </w:r>
      <w:r>
        <w:rPr>
          <w:spacing w:val="40"/>
        </w:rPr>
        <w:t> </w:t>
      </w:r>
      <w:r>
        <w:rPr/>
        <w:t>only the “minimum requirements” but also other provisions with the most stringent option to DTAA limit </w:t>
      </w:r>
      <w:r>
        <w:rPr>
          <w:spacing w:val="-2"/>
        </w:rPr>
        <w:t>benefits.</w:t>
      </w:r>
    </w:p>
    <w:p>
      <w:pPr>
        <w:pStyle w:val="BodyText"/>
        <w:spacing w:line="360" w:lineRule="auto" w:before="122"/>
        <w:ind w:left="378" w:right="299" w:firstLine="710"/>
      </w:pPr>
      <w:r>
        <w:rPr/>
        <w:t>The issue of PPT applicability has sparked a heated debate in the legal science and professional environment. The experts note that it lacks a test of an “economic being”. Besides it, the question of the applicability</w:t>
      </w:r>
      <w:r>
        <w:rPr>
          <w:spacing w:val="-2"/>
        </w:rPr>
        <w:t> </w:t>
      </w:r>
      <w:r>
        <w:rPr/>
        <w:t>of</w:t>
      </w:r>
      <w:r>
        <w:rPr>
          <w:spacing w:val="-2"/>
        </w:rPr>
        <w:t> </w:t>
      </w:r>
      <w:r>
        <w:rPr/>
        <w:t>the</w:t>
      </w:r>
      <w:r>
        <w:rPr>
          <w:spacing w:val="-5"/>
        </w:rPr>
        <w:t> </w:t>
      </w:r>
      <w:r>
        <w:rPr/>
        <w:t>terminology</w:t>
      </w:r>
      <w:r>
        <w:rPr>
          <w:spacing w:val="-7"/>
        </w:rPr>
        <w:t> </w:t>
      </w:r>
      <w:r>
        <w:rPr/>
        <w:t>of previously</w:t>
      </w:r>
      <w:r>
        <w:rPr>
          <w:spacing w:val="-6"/>
        </w:rPr>
        <w:t> </w:t>
      </w:r>
      <w:r>
        <w:rPr/>
        <w:t>developed testing</w:t>
      </w:r>
      <w:r>
        <w:rPr>
          <w:spacing w:val="-6"/>
        </w:rPr>
        <w:t> </w:t>
      </w:r>
      <w:r>
        <w:rPr/>
        <w:t>rules</w:t>
      </w:r>
      <w:r>
        <w:rPr>
          <w:spacing w:val="-3"/>
        </w:rPr>
        <w:t> </w:t>
      </w:r>
      <w:r>
        <w:rPr/>
        <w:t>arises</w:t>
      </w:r>
      <w:r>
        <w:rPr>
          <w:spacing w:val="-3"/>
        </w:rPr>
        <w:t> </w:t>
      </w:r>
      <w:r>
        <w:rPr/>
        <w:t>for the</w:t>
      </w:r>
      <w:r>
        <w:rPr>
          <w:spacing w:val="-5"/>
        </w:rPr>
        <w:t> </w:t>
      </w:r>
      <w:r>
        <w:rPr/>
        <w:t>purposes of</w:t>
      </w:r>
      <w:r>
        <w:rPr>
          <w:spacing w:val="-6"/>
        </w:rPr>
        <w:t> </w:t>
      </w:r>
      <w:r>
        <w:rPr/>
        <w:t>international treaties in science and practice.</w:t>
      </w:r>
    </w:p>
    <w:p>
      <w:pPr>
        <w:pStyle w:val="BodyText"/>
        <w:spacing w:line="360" w:lineRule="auto" w:before="118"/>
        <w:ind w:left="378" w:right="301" w:firstLine="710"/>
      </w:pPr>
      <w:r>
        <w:rPr/>
        <w:t>The rule of interpreting the indefinite terms in DTAA lies in the fact that they are relevant in accordance with the domestic law of a state</w:t>
      </w:r>
      <w:r>
        <w:rPr>
          <w:spacing w:val="-2"/>
        </w:rPr>
        <w:t> </w:t>
      </w:r>
      <w:r>
        <w:rPr/>
        <w:t>implementing PPT if the context does not require otherwise. In this connection there is a question about</w:t>
      </w:r>
      <w:r>
        <w:rPr>
          <w:spacing w:val="21"/>
        </w:rPr>
        <w:t> </w:t>
      </w:r>
      <w:r>
        <w:rPr/>
        <w:t>the universality of terminology used in the OECD.</w:t>
      </w:r>
      <w:r>
        <w:rPr>
          <w:spacing w:val="19"/>
        </w:rPr>
        <w:t> </w:t>
      </w:r>
      <w:r>
        <w:rPr/>
        <w:t>The usage of the</w:t>
      </w:r>
      <w:r>
        <w:rPr>
          <w:spacing w:val="-1"/>
        </w:rPr>
        <w:t> </w:t>
      </w:r>
      <w:r>
        <w:rPr/>
        <w:t>international meaning is allowed in DTAA in many</w:t>
      </w:r>
      <w:r>
        <w:rPr>
          <w:spacing w:val="-3"/>
        </w:rPr>
        <w:t> </w:t>
      </w:r>
      <w:r>
        <w:rPr/>
        <w:t>countries in accordance</w:t>
      </w:r>
      <w:r>
        <w:rPr>
          <w:spacing w:val="-1"/>
        </w:rPr>
        <w:t> </w:t>
      </w:r>
      <w:r>
        <w:rPr/>
        <w:t>with the</w:t>
      </w:r>
      <w:r>
        <w:rPr>
          <w:spacing w:val="-1"/>
        </w:rPr>
        <w:t> </w:t>
      </w:r>
      <w:r>
        <w:rPr/>
        <w:t>general perception of the definite term. Usually</w:t>
      </w:r>
      <w:r>
        <w:rPr>
          <w:spacing w:val="-2"/>
        </w:rPr>
        <w:t> </w:t>
      </w:r>
      <w:r>
        <w:rPr/>
        <w:t>this general perception is written in the comments of OECD but it also can be found in the final reports to BEPS Action or legal clarifications.</w:t>
      </w:r>
    </w:p>
    <w:p>
      <w:pPr>
        <w:pStyle w:val="BodyText"/>
        <w:spacing w:line="360" w:lineRule="auto" w:before="119"/>
        <w:ind w:left="378" w:right="293" w:firstLine="710"/>
      </w:pPr>
      <w:r>
        <w:rPr/>
        <w:t>Main methodological tool that OECD proposes to use by</w:t>
      </w:r>
      <w:r>
        <w:rPr>
          <w:spacing w:val="-3"/>
        </w:rPr>
        <w:t> </w:t>
      </w:r>
      <w:r>
        <w:rPr/>
        <w:t>the</w:t>
      </w:r>
      <w:r>
        <w:rPr>
          <w:spacing w:val="-2"/>
        </w:rPr>
        <w:t> </w:t>
      </w:r>
      <w:r>
        <w:rPr/>
        <w:t>countries for Multilateral Convention ratification is Explanatory statement to MLI BEPS (OECD, 2016b). This document reflects the</w:t>
      </w:r>
      <w:r>
        <w:rPr>
          <w:spacing w:val="80"/>
        </w:rPr>
        <w:t> </w:t>
      </w:r>
      <w:r>
        <w:rPr/>
        <w:t>quintessence</w:t>
      </w:r>
      <w:r>
        <w:rPr>
          <w:spacing w:val="63"/>
        </w:rPr>
        <w:t> </w:t>
      </w:r>
      <w:r>
        <w:rPr/>
        <w:t>of</w:t>
      </w:r>
      <w:r>
        <w:rPr>
          <w:spacing w:val="62"/>
        </w:rPr>
        <w:t> </w:t>
      </w:r>
      <w:r>
        <w:rPr/>
        <w:t>a</w:t>
      </w:r>
      <w:r>
        <w:rPr>
          <w:spacing w:val="68"/>
        </w:rPr>
        <w:t> </w:t>
      </w:r>
      <w:r>
        <w:rPr/>
        <w:t>“common</w:t>
      </w:r>
      <w:r>
        <w:rPr>
          <w:spacing w:val="71"/>
        </w:rPr>
        <w:t> </w:t>
      </w:r>
      <w:r>
        <w:rPr/>
        <w:t>understanding"</w:t>
      </w:r>
      <w:r>
        <w:rPr>
          <w:spacing w:val="66"/>
        </w:rPr>
        <w:t> </w:t>
      </w:r>
      <w:r>
        <w:rPr/>
        <w:t>of</w:t>
      </w:r>
      <w:r>
        <w:rPr>
          <w:spacing w:val="62"/>
        </w:rPr>
        <w:t> </w:t>
      </w:r>
      <w:r>
        <w:rPr/>
        <w:t>the</w:t>
      </w:r>
      <w:r>
        <w:rPr>
          <w:spacing w:val="63"/>
        </w:rPr>
        <w:t> </w:t>
      </w:r>
      <w:r>
        <w:rPr/>
        <w:t>terminology</w:t>
      </w:r>
      <w:r>
        <w:rPr>
          <w:spacing w:val="62"/>
        </w:rPr>
        <w:t> </w:t>
      </w:r>
      <w:r>
        <w:rPr/>
        <w:t>of</w:t>
      </w:r>
      <w:r>
        <w:rPr>
          <w:spacing w:val="67"/>
        </w:rPr>
        <w:t> </w:t>
      </w:r>
      <w:r>
        <w:rPr/>
        <w:t>anti-evasive</w:t>
      </w:r>
      <w:r>
        <w:rPr>
          <w:spacing w:val="63"/>
        </w:rPr>
        <w:t> </w:t>
      </w:r>
      <w:r>
        <w:rPr/>
        <w:t>instruments</w:t>
      </w:r>
      <w:r>
        <w:rPr>
          <w:spacing w:val="65"/>
        </w:rPr>
        <w:t> </w:t>
      </w:r>
      <w:r>
        <w:rPr/>
        <w:t>and</w:t>
      </w:r>
      <w:r>
        <w:rPr>
          <w:spacing w:val="66"/>
        </w:rPr>
        <w:t> </w:t>
      </w:r>
      <w:r>
        <w:rPr/>
        <w:t>the</w:t>
      </w:r>
    </w:p>
    <w:p>
      <w:pPr>
        <w:pStyle w:val="BodyText"/>
        <w:spacing w:after="0" w:line="360" w:lineRule="auto"/>
        <w:sectPr>
          <w:pgSz w:w="11910" w:h="16840"/>
          <w:pgMar w:header="709" w:footer="695" w:top="1320" w:bottom="880" w:left="1417" w:right="1133"/>
        </w:sectPr>
      </w:pPr>
    </w:p>
    <w:p>
      <w:pPr>
        <w:pStyle w:val="BodyText"/>
        <w:spacing w:line="360" w:lineRule="auto" w:before="91"/>
        <w:ind w:left="23" w:right="651"/>
      </w:pPr>
      <w:r>
        <w:rPr/>
        <w:t>implementation mechanism of MLI BEPS in general. It is necessary to think whether the OECD Explanatory Statement has every right to set a benchmark for this “common understanding" before beginning the determination of the Principle Purpose rule, developed on the international level. There are several reasons why this can be problematic.</w:t>
      </w:r>
    </w:p>
    <w:p>
      <w:pPr>
        <w:pStyle w:val="BodyText"/>
        <w:spacing w:line="360" w:lineRule="auto" w:before="119"/>
        <w:ind w:left="23" w:right="652" w:firstLine="710"/>
      </w:pPr>
      <w:r>
        <w:rPr/>
        <w:t>Firstly, BEPS explanations, although legitimate, are not generally accepted. The international studies argue that although the G20 and OECD countries are politically connected by decisions of their international</w:t>
      </w:r>
      <w:r>
        <w:rPr>
          <w:spacing w:val="-1"/>
        </w:rPr>
        <w:t> </w:t>
      </w:r>
      <w:r>
        <w:rPr/>
        <w:t>organizations, defining</w:t>
      </w:r>
      <w:r>
        <w:rPr>
          <w:spacing w:val="-4"/>
        </w:rPr>
        <w:t> </w:t>
      </w:r>
      <w:r>
        <w:rPr/>
        <w:t>the</w:t>
      </w:r>
      <w:r>
        <w:rPr>
          <w:spacing w:val="-6"/>
        </w:rPr>
        <w:t> </w:t>
      </w:r>
      <w:r>
        <w:rPr/>
        <w:t>agenda</w:t>
      </w:r>
      <w:r>
        <w:rPr>
          <w:spacing w:val="-2"/>
        </w:rPr>
        <w:t> </w:t>
      </w:r>
      <w:r>
        <w:rPr/>
        <w:t>for the</w:t>
      </w:r>
      <w:r>
        <w:rPr>
          <w:spacing w:val="-2"/>
        </w:rPr>
        <w:t> </w:t>
      </w:r>
      <w:r>
        <w:rPr/>
        <w:t>BEPS</w:t>
      </w:r>
      <w:r>
        <w:rPr>
          <w:spacing w:val="-1"/>
        </w:rPr>
        <w:t> </w:t>
      </w:r>
      <w:r>
        <w:rPr/>
        <w:t>project, and</w:t>
      </w:r>
      <w:r>
        <w:rPr>
          <w:spacing w:val="-8"/>
        </w:rPr>
        <w:t> </w:t>
      </w:r>
      <w:r>
        <w:rPr/>
        <w:t>harmonization of</w:t>
      </w:r>
      <w:r>
        <w:rPr>
          <w:spacing w:val="-2"/>
        </w:rPr>
        <w:t> </w:t>
      </w:r>
      <w:r>
        <w:rPr/>
        <w:t>wording</w:t>
      </w:r>
      <w:r>
        <w:rPr>
          <w:spacing w:val="-4"/>
        </w:rPr>
        <w:t> </w:t>
      </w:r>
      <w:r>
        <w:rPr/>
        <w:t>of</w:t>
      </w:r>
      <w:r>
        <w:rPr>
          <w:spacing w:val="-5"/>
        </w:rPr>
        <w:t> </w:t>
      </w:r>
      <w:r>
        <w:rPr/>
        <w:t>new OECD Comments. But the situation is not the same for many countries that have signed MLI and that are not the members of any of the two organizations developed the BEPS project (Valderrama and Johanna, 2015). Other scientists express caution against a small number of countries that seem to control tightly decision making, assuming that such a</w:t>
      </w:r>
      <w:r>
        <w:rPr>
          <w:spacing w:val="-1"/>
        </w:rPr>
        <w:t> </w:t>
      </w:r>
      <w:r>
        <w:rPr/>
        <w:t>new</w:t>
      </w:r>
      <w:r>
        <w:rPr>
          <w:spacing w:val="-4"/>
        </w:rPr>
        <w:t> </w:t>
      </w:r>
      <w:r>
        <w:rPr/>
        <w:t>international tax</w:t>
      </w:r>
      <w:r>
        <w:rPr>
          <w:spacing w:val="-2"/>
        </w:rPr>
        <w:t> </w:t>
      </w:r>
      <w:r>
        <w:rPr/>
        <w:t>order, where</w:t>
      </w:r>
      <w:r>
        <w:rPr>
          <w:spacing w:val="-5"/>
        </w:rPr>
        <w:t> </w:t>
      </w:r>
      <w:r>
        <w:rPr/>
        <w:t>the</w:t>
      </w:r>
      <w:r>
        <w:rPr>
          <w:spacing w:val="-1"/>
        </w:rPr>
        <w:t> </w:t>
      </w:r>
      <w:r>
        <w:rPr/>
        <w:t>terminology</w:t>
      </w:r>
      <w:r>
        <w:rPr>
          <w:spacing w:val="-6"/>
        </w:rPr>
        <w:t> </w:t>
      </w:r>
      <w:r>
        <w:rPr/>
        <w:t>is controlled by</w:t>
      </w:r>
      <w:r>
        <w:rPr>
          <w:spacing w:val="-7"/>
        </w:rPr>
        <w:t> </w:t>
      </w:r>
      <w:r>
        <w:rPr/>
        <w:t>a certain group of countries in the OECD and G20, cannot be easily reconciled with the common understanding holding by others outside this specific group.</w:t>
      </w:r>
    </w:p>
    <w:p>
      <w:pPr>
        <w:pStyle w:val="BodyText"/>
        <w:spacing w:line="360" w:lineRule="auto" w:before="121"/>
        <w:ind w:left="23" w:right="650" w:firstLine="710"/>
      </w:pPr>
      <w:r>
        <w:rPr/>
        <w:t>The second reason to be cautious is that the explanatory statements submitted by the OECD are apparent new. K. Vogel suggested that the statements in the new OECD comments could receive the status of</w:t>
      </w:r>
      <w:r>
        <w:rPr>
          <w:spacing w:val="-3"/>
        </w:rPr>
        <w:t> </w:t>
      </w:r>
      <w:r>
        <w:rPr/>
        <w:t>“international taxation language” only</w:t>
      </w:r>
      <w:r>
        <w:rPr>
          <w:spacing w:val="-3"/>
        </w:rPr>
        <w:t> </w:t>
      </w:r>
      <w:r>
        <w:rPr/>
        <w:t>when “enough time</w:t>
      </w:r>
      <w:r>
        <w:rPr>
          <w:spacing w:val="-5"/>
        </w:rPr>
        <w:t> </w:t>
      </w:r>
      <w:r>
        <w:rPr/>
        <w:t>would pass so</w:t>
      </w:r>
      <w:r>
        <w:rPr>
          <w:spacing w:val="-4"/>
        </w:rPr>
        <w:t> </w:t>
      </w:r>
      <w:r>
        <w:rPr/>
        <w:t>that the</w:t>
      </w:r>
      <w:r>
        <w:rPr>
          <w:spacing w:val="-2"/>
        </w:rPr>
        <w:t> </w:t>
      </w:r>
      <w:r>
        <w:rPr/>
        <w:t>amendment would leak into</w:t>
      </w:r>
      <w:r>
        <w:rPr>
          <w:spacing w:val="-4"/>
        </w:rPr>
        <w:t> </w:t>
      </w:r>
      <w:r>
        <w:rPr/>
        <w:t>the</w:t>
      </w:r>
      <w:r>
        <w:rPr>
          <w:spacing w:val="-7"/>
        </w:rPr>
        <w:t> </w:t>
      </w:r>
      <w:r>
        <w:rPr/>
        <w:t>minds of</w:t>
      </w:r>
      <w:r>
        <w:rPr>
          <w:spacing w:val="-4"/>
        </w:rPr>
        <w:t> </w:t>
      </w:r>
      <w:r>
        <w:rPr/>
        <w:t>international</w:t>
      </w:r>
      <w:r>
        <w:rPr>
          <w:spacing w:val="-2"/>
        </w:rPr>
        <w:t> </w:t>
      </w:r>
      <w:r>
        <w:rPr/>
        <w:t>tax experts who</w:t>
      </w:r>
      <w:r>
        <w:rPr>
          <w:spacing w:val="-4"/>
        </w:rPr>
        <w:t> </w:t>
      </w:r>
      <w:r>
        <w:rPr/>
        <w:t>were</w:t>
      </w:r>
      <w:r>
        <w:rPr>
          <w:spacing w:val="-7"/>
        </w:rPr>
        <w:t> </w:t>
      </w:r>
      <w:r>
        <w:rPr/>
        <w:t>not members</w:t>
      </w:r>
      <w:r>
        <w:rPr>
          <w:spacing w:val="-1"/>
        </w:rPr>
        <w:t> </w:t>
      </w:r>
      <w:r>
        <w:rPr/>
        <w:t>of</w:t>
      </w:r>
      <w:r>
        <w:rPr>
          <w:spacing w:val="-4"/>
        </w:rPr>
        <w:t> </w:t>
      </w:r>
      <w:r>
        <w:rPr/>
        <w:t>Working</w:t>
      </w:r>
      <w:r>
        <w:rPr>
          <w:spacing w:val="-4"/>
        </w:rPr>
        <w:t> </w:t>
      </w:r>
      <w:r>
        <w:rPr/>
        <w:t>Group No. 1.” (Vogel, 2000). He</w:t>
      </w:r>
      <w:r>
        <w:rPr>
          <w:spacing w:val="-1"/>
        </w:rPr>
        <w:t> </w:t>
      </w:r>
      <w:r>
        <w:rPr/>
        <w:t>suggested that it</w:t>
      </w:r>
      <w:r>
        <w:rPr>
          <w:spacing w:val="-1"/>
        </w:rPr>
        <w:t> </w:t>
      </w:r>
      <w:r>
        <w:rPr/>
        <w:t>might</w:t>
      </w:r>
      <w:r>
        <w:rPr>
          <w:spacing w:val="-1"/>
        </w:rPr>
        <w:t> </w:t>
      </w:r>
      <w:r>
        <w:rPr/>
        <w:t>need up to</w:t>
      </w:r>
      <w:r>
        <w:rPr>
          <w:spacing w:val="-3"/>
        </w:rPr>
        <w:t> </w:t>
      </w:r>
      <w:r>
        <w:rPr/>
        <w:t>10 years before the clarified term would take on “special</w:t>
      </w:r>
      <w:r>
        <w:rPr>
          <w:spacing w:val="-1"/>
        </w:rPr>
        <w:t> </w:t>
      </w:r>
      <w:r>
        <w:rPr/>
        <w:t>meaning”</w:t>
      </w:r>
      <w:r>
        <w:rPr>
          <w:spacing w:val="-1"/>
        </w:rPr>
        <w:t> </w:t>
      </w:r>
      <w:r>
        <w:rPr/>
        <w:t>as it was stated in paragraph 4 of the Vienna Convention on the Law of International Negotiations (Raad, 2008). Due to these reasons the author suggests that OECD clarifications can acquire “special meaning” only in the relationship “between OECD countries”.</w:t>
      </w:r>
    </w:p>
    <w:p>
      <w:pPr>
        <w:pStyle w:val="BodyText"/>
        <w:spacing w:line="360" w:lineRule="auto" w:before="121"/>
        <w:ind w:left="23" w:right="657" w:firstLine="710"/>
      </w:pPr>
      <w:r>
        <w:rPr/>
        <w:t>The third problem is the possibility of different interpretations of the OECD Explanatory Statements on the use of PPT in separate states that have made MLI BEPS ratification. Countries that have internal common rules or legal concepts to combat tax abuse will be more familiar with the approach adopted by OECD relating PPT. However, it does not suggest that all jurisdictions will have harmonized concepts for the application of legal norms in litigation (even if the court is a substantive tribunal) or even similar procedures for proving.</w:t>
      </w:r>
    </w:p>
    <w:p>
      <w:pPr>
        <w:pStyle w:val="BodyText"/>
        <w:spacing w:line="360" w:lineRule="auto" w:before="119"/>
        <w:ind w:left="23" w:right="651" w:firstLine="710"/>
      </w:pPr>
      <w:r>
        <w:rPr/>
        <w:t>As the result of these problems it is too early to conclude that the guidance, included in the explanatory statement MLI BEPS, will get the high status as a source of “common understanding”</w:t>
      </w:r>
      <w:r>
        <w:rPr>
          <w:spacing w:val="40"/>
        </w:rPr>
        <w:t> </w:t>
      </w:r>
      <w:r>
        <w:rPr/>
        <w:t>especially for the countries that are not OECD members. As K. Vogel suggested, the process would take much longer period and even then would be less consistent than it could be imagined. It is</w:t>
      </w:r>
      <w:r>
        <w:rPr>
          <w:spacing w:val="-1"/>
        </w:rPr>
        <w:t> </w:t>
      </w:r>
      <w:r>
        <w:rPr/>
        <w:t>possible that tax practice in different jurisdictions will converge but it is equally</w:t>
      </w:r>
      <w:r>
        <w:rPr>
          <w:spacing w:val="-2"/>
        </w:rPr>
        <w:t> </w:t>
      </w:r>
      <w:r>
        <w:rPr/>
        <w:t>possible that the stand-alone meanings will not be easily set for various terms in PPT.</w:t>
      </w:r>
    </w:p>
    <w:p>
      <w:pPr>
        <w:pStyle w:val="BodyText"/>
        <w:spacing w:line="357" w:lineRule="auto" w:before="125"/>
        <w:ind w:left="23" w:right="653" w:firstLine="710"/>
      </w:pPr>
      <w:r>
        <w:rPr/>
        <w:t>This article attempts to</w:t>
      </w:r>
      <w:r>
        <w:rPr>
          <w:spacing w:val="-2"/>
        </w:rPr>
        <w:t> </w:t>
      </w:r>
      <w:r>
        <w:rPr/>
        <w:t>analyze PPT from a normative perspective and thus the</w:t>
      </w:r>
      <w:r>
        <w:rPr>
          <w:spacing w:val="-1"/>
        </w:rPr>
        <w:t> </w:t>
      </w:r>
      <w:r>
        <w:rPr/>
        <w:t>starting point is the analysis of what we have and recognizing that the concept of “common understanding" is somewhat idealistic in applying PPT and cannot be universal for all the</w:t>
      </w:r>
      <w:r>
        <w:rPr>
          <w:spacing w:val="-5"/>
        </w:rPr>
        <w:t> </w:t>
      </w:r>
      <w:r>
        <w:rPr/>
        <w:t>states that implement it in their tax systems.</w:t>
      </w:r>
    </w:p>
    <w:p>
      <w:pPr>
        <w:pStyle w:val="BodyText"/>
        <w:spacing w:line="360" w:lineRule="auto" w:before="124"/>
        <w:ind w:left="23" w:right="651" w:firstLine="710"/>
      </w:pPr>
      <w:r>
        <w:rPr/>
        <w:t>Among the terms used in the article 7 MLI BEPS, only the Covered tax agreements (further</w:t>
      </w:r>
      <w:r>
        <w:rPr>
          <w:spacing w:val="36"/>
        </w:rPr>
        <w:t> </w:t>
      </w:r>
      <w:r>
        <w:rPr/>
        <w:t>-</w:t>
      </w:r>
      <w:r>
        <w:rPr>
          <w:spacing w:val="40"/>
        </w:rPr>
        <w:t> </w:t>
      </w:r>
      <w:r>
        <w:rPr/>
        <w:t>CTA)</w:t>
      </w:r>
      <w:r>
        <w:rPr>
          <w:spacing w:val="27"/>
        </w:rPr>
        <w:t> </w:t>
      </w:r>
      <w:r>
        <w:rPr/>
        <w:t>is</w:t>
      </w:r>
      <w:r>
        <w:rPr>
          <w:spacing w:val="25"/>
        </w:rPr>
        <w:t> </w:t>
      </w:r>
      <w:r>
        <w:rPr/>
        <w:t>disclosed.</w:t>
      </w:r>
      <w:r>
        <w:rPr>
          <w:spacing w:val="29"/>
        </w:rPr>
        <w:t> </w:t>
      </w:r>
      <w:r>
        <w:rPr/>
        <w:t>The</w:t>
      </w:r>
      <w:r>
        <w:rPr>
          <w:spacing w:val="24"/>
        </w:rPr>
        <w:t> </w:t>
      </w:r>
      <w:r>
        <w:rPr/>
        <w:t>paragraph</w:t>
      </w:r>
      <w:r>
        <w:rPr>
          <w:spacing w:val="31"/>
        </w:rPr>
        <w:t> </w:t>
      </w:r>
      <w:r>
        <w:rPr/>
        <w:t>2,</w:t>
      </w:r>
      <w:r>
        <w:rPr>
          <w:spacing w:val="28"/>
        </w:rPr>
        <w:t> </w:t>
      </w:r>
      <w:r>
        <w:rPr/>
        <w:t>article</w:t>
      </w:r>
      <w:r>
        <w:rPr>
          <w:spacing w:val="23"/>
        </w:rPr>
        <w:t> </w:t>
      </w:r>
      <w:r>
        <w:rPr/>
        <w:t>2</w:t>
      </w:r>
      <w:r>
        <w:rPr>
          <w:spacing w:val="26"/>
        </w:rPr>
        <w:t> </w:t>
      </w:r>
      <w:r>
        <w:rPr/>
        <w:t>of</w:t>
      </w:r>
      <w:r>
        <w:rPr>
          <w:spacing w:val="24"/>
        </w:rPr>
        <w:t> </w:t>
      </w:r>
      <w:r>
        <w:rPr/>
        <w:t>MLI</w:t>
      </w:r>
      <w:r>
        <w:rPr>
          <w:spacing w:val="32"/>
        </w:rPr>
        <w:t> </w:t>
      </w:r>
      <w:r>
        <w:rPr/>
        <w:t>BEPS</w:t>
      </w:r>
      <w:r>
        <w:rPr>
          <w:spacing w:val="25"/>
        </w:rPr>
        <w:t> </w:t>
      </w:r>
      <w:r>
        <w:rPr/>
        <w:t>contains</w:t>
      </w:r>
      <w:r>
        <w:rPr>
          <w:spacing w:val="25"/>
        </w:rPr>
        <w:t> </w:t>
      </w:r>
      <w:r>
        <w:rPr/>
        <w:t>a</w:t>
      </w:r>
      <w:r>
        <w:rPr>
          <w:spacing w:val="25"/>
        </w:rPr>
        <w:t> </w:t>
      </w:r>
      <w:r>
        <w:rPr/>
        <w:t>reservation</w:t>
      </w:r>
      <w:r>
        <w:rPr>
          <w:spacing w:val="28"/>
        </w:rPr>
        <w:t> </w:t>
      </w:r>
      <w:r>
        <w:rPr/>
        <w:t>that</w:t>
      </w:r>
      <w:r>
        <w:rPr>
          <w:spacing w:val="28"/>
        </w:rPr>
        <w:t> </w:t>
      </w:r>
      <w:r>
        <w:rPr/>
        <w:t>any</w:t>
      </w:r>
      <w:r>
        <w:rPr>
          <w:spacing w:val="22"/>
        </w:rPr>
        <w:t> </w:t>
      </w:r>
      <w:r>
        <w:rPr/>
        <w:t>vague</w:t>
      </w:r>
      <w:r>
        <w:rPr>
          <w:spacing w:val="24"/>
        </w:rPr>
        <w:t> </w:t>
      </w:r>
      <w:r>
        <w:rPr/>
        <w:t>term</w:t>
      </w:r>
    </w:p>
    <w:p>
      <w:pPr>
        <w:pStyle w:val="BodyText"/>
        <w:spacing w:after="0" w:line="360" w:lineRule="auto"/>
        <w:sectPr>
          <w:pgSz w:w="11910" w:h="16840"/>
          <w:pgMar w:header="709" w:footer="695" w:top="1320" w:bottom="880" w:left="1417" w:right="1133"/>
        </w:sectPr>
      </w:pPr>
    </w:p>
    <w:p>
      <w:pPr>
        <w:pStyle w:val="BodyText"/>
        <w:spacing w:line="360" w:lineRule="auto" w:before="91"/>
        <w:ind w:left="378" w:right="303"/>
      </w:pPr>
      <w:r>
        <w:rPr/>
        <w:t>(“unless the context requires otherwise”) should be interpreted in accordance with applicable DTAA. However, applying PPT the international concept is important but not the one that is used by national </w:t>
      </w:r>
      <w:r>
        <w:rPr>
          <w:spacing w:val="-2"/>
        </w:rPr>
        <w:t>legislation.</w:t>
      </w:r>
    </w:p>
    <w:p>
      <w:pPr>
        <w:pStyle w:val="BodyText"/>
        <w:jc w:val="left"/>
      </w:pPr>
    </w:p>
    <w:p>
      <w:pPr>
        <w:pStyle w:val="BodyText"/>
        <w:spacing w:before="128"/>
        <w:jc w:val="left"/>
      </w:pPr>
    </w:p>
    <w:p>
      <w:pPr>
        <w:pStyle w:val="Heading4"/>
        <w:ind w:left="1089"/>
      </w:pPr>
      <w:r>
        <w:rPr/>
        <w:t>Principle</w:t>
      </w:r>
      <w:r>
        <w:rPr>
          <w:spacing w:val="-8"/>
        </w:rPr>
        <w:t> </w:t>
      </w:r>
      <w:r>
        <w:rPr/>
        <w:t>Purpose</w:t>
      </w:r>
      <w:r>
        <w:rPr>
          <w:spacing w:val="-7"/>
        </w:rPr>
        <w:t> </w:t>
      </w:r>
      <w:r>
        <w:rPr/>
        <w:t>Test</w:t>
      </w:r>
      <w:r>
        <w:rPr>
          <w:spacing w:val="-7"/>
        </w:rPr>
        <w:t> </w:t>
      </w:r>
      <w:r>
        <w:rPr>
          <w:spacing w:val="-2"/>
        </w:rPr>
        <w:t>elements</w:t>
      </w:r>
    </w:p>
    <w:p>
      <w:pPr>
        <w:pStyle w:val="BodyText"/>
        <w:spacing w:before="1"/>
        <w:jc w:val="left"/>
        <w:rPr>
          <w:b/>
          <w:i/>
        </w:rPr>
      </w:pPr>
    </w:p>
    <w:p>
      <w:pPr>
        <w:pStyle w:val="BodyText"/>
        <w:ind w:left="1089"/>
        <w:jc w:val="left"/>
      </w:pPr>
      <w:r>
        <w:rPr/>
        <w:t>The</w:t>
      </w:r>
      <w:r>
        <w:rPr>
          <w:spacing w:val="-10"/>
        </w:rPr>
        <w:t> </w:t>
      </w:r>
      <w:r>
        <w:rPr/>
        <w:t>structurally-substantive</w:t>
      </w:r>
      <w:r>
        <w:rPr>
          <w:spacing w:val="-8"/>
        </w:rPr>
        <w:t> </w:t>
      </w:r>
      <w:r>
        <w:rPr/>
        <w:t>basis</w:t>
      </w:r>
      <w:r>
        <w:rPr>
          <w:spacing w:val="-6"/>
        </w:rPr>
        <w:t> </w:t>
      </w:r>
      <w:r>
        <w:rPr/>
        <w:t>of</w:t>
      </w:r>
      <w:r>
        <w:rPr>
          <w:spacing w:val="-10"/>
        </w:rPr>
        <w:t> </w:t>
      </w:r>
      <w:r>
        <w:rPr/>
        <w:t>PPT</w:t>
      </w:r>
      <w:r>
        <w:rPr>
          <w:spacing w:val="-3"/>
        </w:rPr>
        <w:t> </w:t>
      </w:r>
      <w:r>
        <w:rPr/>
        <w:t>in</w:t>
      </w:r>
      <w:r>
        <w:rPr>
          <w:spacing w:val="-5"/>
        </w:rPr>
        <w:t> </w:t>
      </w:r>
      <w:r>
        <w:rPr/>
        <w:t>its</w:t>
      </w:r>
      <w:r>
        <w:rPr>
          <w:spacing w:val="-10"/>
        </w:rPr>
        <w:t> </w:t>
      </w:r>
      <w:r>
        <w:rPr/>
        <w:t>“common</w:t>
      </w:r>
      <w:r>
        <w:rPr>
          <w:spacing w:val="-1"/>
        </w:rPr>
        <w:t> </w:t>
      </w:r>
      <w:r>
        <w:rPr/>
        <w:t>sense”</w:t>
      </w:r>
      <w:r>
        <w:rPr>
          <w:spacing w:val="-3"/>
        </w:rPr>
        <w:t> </w:t>
      </w:r>
      <w:r>
        <w:rPr/>
        <w:t>consists</w:t>
      </w:r>
      <w:r>
        <w:rPr>
          <w:spacing w:val="-7"/>
        </w:rPr>
        <w:t> </w:t>
      </w:r>
      <w:r>
        <w:rPr/>
        <w:t>of</w:t>
      </w:r>
      <w:r>
        <w:rPr>
          <w:spacing w:val="-9"/>
        </w:rPr>
        <w:t> </w:t>
      </w:r>
      <w:r>
        <w:rPr/>
        <w:t>three</w:t>
      </w:r>
      <w:r>
        <w:rPr>
          <w:spacing w:val="-8"/>
        </w:rPr>
        <w:t> </w:t>
      </w:r>
      <w:r>
        <w:rPr/>
        <w:t>main</w:t>
      </w:r>
      <w:r>
        <w:rPr>
          <w:spacing w:val="-4"/>
        </w:rPr>
        <w:t> </w:t>
      </w:r>
      <w:r>
        <w:rPr>
          <w:spacing w:val="-2"/>
        </w:rPr>
        <w:t>elements:</w:t>
      </w:r>
    </w:p>
    <w:p>
      <w:pPr>
        <w:pStyle w:val="BodyText"/>
        <w:spacing w:before="6"/>
        <w:jc w:val="left"/>
      </w:pPr>
    </w:p>
    <w:p>
      <w:pPr>
        <w:spacing w:before="0"/>
        <w:ind w:left="1089" w:right="0" w:firstLine="0"/>
        <w:jc w:val="left"/>
        <w:rPr>
          <w:sz w:val="20"/>
        </w:rPr>
      </w:pPr>
      <w:r>
        <w:rPr>
          <w:i/>
          <w:sz w:val="20"/>
        </w:rPr>
        <w:t>Content</w:t>
      </w:r>
      <w:r>
        <w:rPr>
          <w:i/>
          <w:spacing w:val="-10"/>
          <w:sz w:val="20"/>
        </w:rPr>
        <w:t> </w:t>
      </w:r>
      <w:r>
        <w:rPr>
          <w:i/>
          <w:sz w:val="20"/>
        </w:rPr>
        <w:t>element:</w:t>
      </w:r>
      <w:r>
        <w:rPr>
          <w:i/>
          <w:spacing w:val="-7"/>
          <w:sz w:val="20"/>
        </w:rPr>
        <w:t> </w:t>
      </w:r>
      <w:r>
        <w:rPr>
          <w:sz w:val="20"/>
        </w:rPr>
        <w:t>Tax</w:t>
      </w:r>
      <w:r>
        <w:rPr>
          <w:spacing w:val="-9"/>
          <w:sz w:val="20"/>
        </w:rPr>
        <w:t> </w:t>
      </w:r>
      <w:r>
        <w:rPr>
          <w:sz w:val="20"/>
        </w:rPr>
        <w:t>benefits</w:t>
      </w:r>
      <w:r>
        <w:rPr>
          <w:spacing w:val="-5"/>
          <w:sz w:val="20"/>
        </w:rPr>
        <w:t> </w:t>
      </w:r>
      <w:r>
        <w:rPr>
          <w:sz w:val="20"/>
        </w:rPr>
        <w:t>include</w:t>
      </w:r>
      <w:r>
        <w:rPr>
          <w:spacing w:val="-11"/>
          <w:sz w:val="20"/>
        </w:rPr>
        <w:t> </w:t>
      </w:r>
      <w:r>
        <w:rPr>
          <w:sz w:val="20"/>
        </w:rPr>
        <w:t>tax</w:t>
      </w:r>
      <w:r>
        <w:rPr>
          <w:spacing w:val="-9"/>
          <w:sz w:val="20"/>
        </w:rPr>
        <w:t> </w:t>
      </w:r>
      <w:r>
        <w:rPr>
          <w:sz w:val="20"/>
        </w:rPr>
        <w:t>deduction,</w:t>
      </w:r>
      <w:r>
        <w:rPr>
          <w:spacing w:val="-4"/>
          <w:sz w:val="20"/>
        </w:rPr>
        <w:t> </w:t>
      </w:r>
      <w:r>
        <w:rPr>
          <w:sz w:val="20"/>
        </w:rPr>
        <w:t>exemption,</w:t>
      </w:r>
      <w:r>
        <w:rPr>
          <w:spacing w:val="-7"/>
          <w:sz w:val="20"/>
        </w:rPr>
        <w:t> </w:t>
      </w:r>
      <w:r>
        <w:rPr>
          <w:sz w:val="20"/>
        </w:rPr>
        <w:t>deferral</w:t>
      </w:r>
      <w:r>
        <w:rPr>
          <w:spacing w:val="-7"/>
          <w:sz w:val="20"/>
        </w:rPr>
        <w:t> </w:t>
      </w:r>
      <w:r>
        <w:rPr>
          <w:sz w:val="20"/>
        </w:rPr>
        <w:t>or</w:t>
      </w:r>
      <w:r>
        <w:rPr>
          <w:spacing w:val="-8"/>
          <w:sz w:val="20"/>
        </w:rPr>
        <w:t> </w:t>
      </w:r>
      <w:r>
        <w:rPr>
          <w:spacing w:val="-2"/>
          <w:sz w:val="20"/>
        </w:rPr>
        <w:t>refund.</w:t>
      </w:r>
    </w:p>
    <w:p>
      <w:pPr>
        <w:pStyle w:val="BodyText"/>
        <w:spacing w:before="6"/>
        <w:jc w:val="left"/>
      </w:pPr>
    </w:p>
    <w:p>
      <w:pPr>
        <w:pStyle w:val="BodyText"/>
        <w:spacing w:line="360" w:lineRule="auto"/>
        <w:ind w:left="378" w:right="298" w:firstLine="710"/>
      </w:pPr>
      <w:r>
        <w:rPr>
          <w:i/>
        </w:rPr>
        <w:t>Subjective element: </w:t>
      </w:r>
      <w:r>
        <w:rPr/>
        <w:t>tax administrations must make a reasonable conclusion, considering all</w:t>
      </w:r>
      <w:r>
        <w:rPr>
          <w:spacing w:val="40"/>
        </w:rPr>
        <w:t> </w:t>
      </w:r>
      <w:r>
        <w:rPr/>
        <w:t>relevant facts and circumstances that getting a benefit has been one of the main aims of any agreement or transaction that leads directly or indirectly to this benefit.</w:t>
      </w:r>
    </w:p>
    <w:p>
      <w:pPr>
        <w:pStyle w:val="BodyText"/>
        <w:spacing w:line="360" w:lineRule="auto" w:before="122"/>
        <w:ind w:left="378" w:right="300" w:firstLine="710"/>
      </w:pPr>
      <w:r>
        <w:rPr>
          <w:i/>
        </w:rPr>
        <w:t>Objective</w:t>
      </w:r>
      <w:r>
        <w:rPr>
          <w:i/>
          <w:spacing w:val="-4"/>
        </w:rPr>
        <w:t> </w:t>
      </w:r>
      <w:r>
        <w:rPr>
          <w:i/>
        </w:rPr>
        <w:t>element:</w:t>
      </w:r>
      <w:r>
        <w:rPr>
          <w:i/>
          <w:spacing w:val="-5"/>
        </w:rPr>
        <w:t> </w:t>
      </w:r>
      <w:r>
        <w:rPr/>
        <w:t>the</w:t>
      </w:r>
      <w:r>
        <w:rPr>
          <w:spacing w:val="-4"/>
        </w:rPr>
        <w:t> </w:t>
      </w:r>
      <w:r>
        <w:rPr/>
        <w:t>taxpayer must establish</w:t>
      </w:r>
      <w:r>
        <w:rPr>
          <w:spacing w:val="-1"/>
        </w:rPr>
        <w:t> </w:t>
      </w:r>
      <w:r>
        <w:rPr/>
        <w:t>that</w:t>
      </w:r>
      <w:r>
        <w:rPr>
          <w:spacing w:val="-4"/>
        </w:rPr>
        <w:t> </w:t>
      </w:r>
      <w:r>
        <w:rPr/>
        <w:t>the</w:t>
      </w:r>
      <w:r>
        <w:rPr>
          <w:spacing w:val="-4"/>
        </w:rPr>
        <w:t> </w:t>
      </w:r>
      <w:r>
        <w:rPr/>
        <w:t>provision of</w:t>
      </w:r>
      <w:r>
        <w:rPr>
          <w:spacing w:val="-6"/>
        </w:rPr>
        <w:t> </w:t>
      </w:r>
      <w:r>
        <w:rPr/>
        <w:t>such benefits will be</w:t>
      </w:r>
      <w:r>
        <w:rPr>
          <w:spacing w:val="-4"/>
        </w:rPr>
        <w:t> </w:t>
      </w:r>
      <w:r>
        <w:rPr/>
        <w:t>consistent with the object and purpose of the provisions of the contract in these circumstances.</w:t>
      </w:r>
    </w:p>
    <w:p>
      <w:pPr>
        <w:pStyle w:val="BodyText"/>
        <w:jc w:val="left"/>
      </w:pPr>
    </w:p>
    <w:p>
      <w:pPr>
        <w:pStyle w:val="BodyText"/>
        <w:spacing w:before="122"/>
        <w:jc w:val="left"/>
      </w:pPr>
    </w:p>
    <w:p>
      <w:pPr>
        <w:pStyle w:val="BodyText"/>
        <w:spacing w:line="360" w:lineRule="auto"/>
        <w:ind w:left="378" w:right="295" w:firstLine="710"/>
      </w:pPr>
      <w:r>
        <w:rPr/>
        <w:t>In the Russian Federation the term “Principle Purpose” began to be used at the legislative level since 2017. In paragraph 2 of Article. 54.1 of the Tax Code of the Russian Federation, the taxpayer is granted the right to reduce the tax base in the case if the aim of the main purpose of the transaction (operation) is not non-payment (incomplete payment) and (or) offset (refund) of the tax amount. In this</w:t>
      </w:r>
      <w:r>
        <w:rPr>
          <w:spacing w:val="40"/>
        </w:rPr>
        <w:t> </w:t>
      </w:r>
      <w:r>
        <w:rPr/>
        <w:t>case, we can state that the lack of an expanded interpretation of the concept of the principle purpose allows to apply the provisions formulated at the international level at the level of domestic law. This example demonstrates the “modifying” effect of OECD Recommendations in relation to tax systems of states that have implemented MLI BEPS provisions.</w:t>
      </w:r>
    </w:p>
    <w:p>
      <w:pPr>
        <w:pStyle w:val="BodyText"/>
        <w:spacing w:line="360" w:lineRule="auto" w:before="122"/>
        <w:ind w:left="378" w:right="293" w:firstLine="710"/>
      </w:pPr>
      <w:r>
        <w:rPr/>
        <w:t>The PPT concept has similarities with the “business purpose principle” used in Russian tax litigation practice. The last one is also successive: it began to be applied in US law and was formulated by the US Supreme Court in a tax case Gregory Helvering (1934) (Sutherland and Supreme Court…, 1934). During this case United Mortgage Company shares were sold after its reorganization in order to use the benefits connected with its reorganization and understating income tax. US Supreme Court found that the reorganization</w:t>
      </w:r>
      <w:r>
        <w:rPr>
          <w:spacing w:val="23"/>
        </w:rPr>
        <w:t> </w:t>
      </w:r>
      <w:r>
        <w:rPr/>
        <w:t>of United Mortgage Company was a disguise to conceal its real purpose - understating the tax base and demanded to recover income tax from the owner of shares Evelyn Gregory.</w:t>
      </w:r>
    </w:p>
    <w:p>
      <w:pPr>
        <w:pStyle w:val="BodyText"/>
        <w:spacing w:line="360" w:lineRule="auto" w:before="120"/>
        <w:ind w:left="378" w:right="299" w:firstLine="710"/>
      </w:pPr>
      <w:r>
        <w:rPr/>
        <w:t>In Russia the principle of the business purpose got the development after reflecting the legislative position on the</w:t>
      </w:r>
      <w:r>
        <w:rPr>
          <w:spacing w:val="-3"/>
        </w:rPr>
        <w:t> </w:t>
      </w:r>
      <w:r>
        <w:rPr/>
        <w:t>issue of getting unreasonable tax benefits in Resolution of the Superior Court of Arbitration Plenum No. 53 on October 12, 2006. Paragraph 9 of the mentioned Resolution emphasizes that tax benefit cannot be considered as an independent business purpose.</w:t>
      </w:r>
    </w:p>
    <w:p>
      <w:pPr>
        <w:pStyle w:val="BodyText"/>
        <w:spacing w:line="360" w:lineRule="auto" w:before="123"/>
        <w:ind w:left="378" w:right="298" w:firstLine="710"/>
      </w:pPr>
      <w:r>
        <w:rPr/>
        <w:t>Despite the fact that there are conceptual similarities in the rules of the “principle purpose test”, used in the international acts on BEPS counteraction, and the principle of the business purpose, used in the domestic judicial practice,</w:t>
      </w:r>
      <w:r>
        <w:rPr>
          <w:spacing w:val="18"/>
        </w:rPr>
        <w:t> </w:t>
      </w:r>
      <w:r>
        <w:rPr/>
        <w:t>there are also some definite differences in</w:t>
      </w:r>
      <w:r>
        <w:rPr>
          <w:spacing w:val="20"/>
        </w:rPr>
        <w:t> </w:t>
      </w:r>
      <w:r>
        <w:rPr/>
        <w:t>the given theories that can influence</w:t>
      </w:r>
    </w:p>
    <w:p>
      <w:pPr>
        <w:pStyle w:val="BodyText"/>
        <w:spacing w:after="0" w:line="360" w:lineRule="auto"/>
        <w:sectPr>
          <w:pgSz w:w="11910" w:h="16840"/>
          <w:pgMar w:header="709" w:footer="695" w:top="1320" w:bottom="880" w:left="1417" w:right="1133"/>
        </w:sectPr>
      </w:pPr>
    </w:p>
    <w:p>
      <w:pPr>
        <w:pStyle w:val="BodyText"/>
        <w:spacing w:line="360" w:lineRule="auto" w:before="91"/>
        <w:ind w:left="23" w:right="658"/>
      </w:pPr>
      <w:r>
        <w:rPr/>
        <w:t>upon a tax dispute resolution. For these reasons, we consider the arguments of researchers who identify these concepts to be untenable.</w:t>
      </w:r>
    </w:p>
    <w:p>
      <w:pPr>
        <w:pStyle w:val="BodyText"/>
        <w:spacing w:line="360" w:lineRule="auto" w:before="122"/>
        <w:ind w:left="23" w:right="653" w:firstLine="710"/>
      </w:pPr>
      <w:r>
        <w:rPr/>
        <w:t>Comparing these rules, we can summarize the following. In accordance with the PPT concept, in the case of the refusal of the tax benefits, it must be proved that the purpose principle of a transaction is in the</w:t>
      </w:r>
      <w:r>
        <w:rPr>
          <w:spacing w:val="-1"/>
        </w:rPr>
        <w:t> </w:t>
      </w:r>
      <w:r>
        <w:rPr/>
        <w:t>reduction of</w:t>
      </w:r>
      <w:r>
        <w:rPr>
          <w:spacing w:val="-3"/>
        </w:rPr>
        <w:t> </w:t>
      </w:r>
      <w:r>
        <w:rPr/>
        <w:t>a tax base. In its turn to</w:t>
      </w:r>
      <w:r>
        <w:rPr>
          <w:spacing w:val="-3"/>
        </w:rPr>
        <w:t> </w:t>
      </w:r>
      <w:r>
        <w:rPr/>
        <w:t>use</w:t>
      </w:r>
      <w:r>
        <w:rPr>
          <w:spacing w:val="-1"/>
        </w:rPr>
        <w:t> </w:t>
      </w:r>
      <w:r>
        <w:rPr/>
        <w:t>the</w:t>
      </w:r>
      <w:r>
        <w:rPr>
          <w:spacing w:val="-1"/>
        </w:rPr>
        <w:t> </w:t>
      </w:r>
      <w:r>
        <w:rPr/>
        <w:t>concept of</w:t>
      </w:r>
      <w:r>
        <w:rPr>
          <w:spacing w:val="-3"/>
        </w:rPr>
        <w:t> </w:t>
      </w:r>
      <w:r>
        <w:rPr/>
        <w:t>the</w:t>
      </w:r>
      <w:r>
        <w:rPr>
          <w:spacing w:val="-1"/>
        </w:rPr>
        <w:t> </w:t>
      </w:r>
      <w:r>
        <w:rPr/>
        <w:t>business purpose is enough to</w:t>
      </w:r>
      <w:r>
        <w:rPr>
          <w:spacing w:val="-2"/>
        </w:rPr>
        <w:t> </w:t>
      </w:r>
      <w:r>
        <w:rPr/>
        <w:t>prove that the purpose of</w:t>
      </w:r>
      <w:r>
        <w:rPr>
          <w:spacing w:val="-1"/>
        </w:rPr>
        <w:t> </w:t>
      </w:r>
      <w:r>
        <w:rPr/>
        <w:t>the</w:t>
      </w:r>
      <w:r>
        <w:rPr>
          <w:spacing w:val="-4"/>
        </w:rPr>
        <w:t> </w:t>
      </w:r>
      <w:r>
        <w:rPr/>
        <w:t>transaction, consisting</w:t>
      </w:r>
      <w:r>
        <w:rPr>
          <w:spacing w:val="-2"/>
        </w:rPr>
        <w:t> </w:t>
      </w:r>
      <w:r>
        <w:rPr/>
        <w:t>in obtaining</w:t>
      </w:r>
      <w:r>
        <w:rPr>
          <w:spacing w:val="-2"/>
        </w:rPr>
        <w:t> </w:t>
      </w:r>
      <w:r>
        <w:rPr/>
        <w:t>tax</w:t>
      </w:r>
      <w:r>
        <w:rPr>
          <w:spacing w:val="-2"/>
        </w:rPr>
        <w:t> </w:t>
      </w:r>
      <w:r>
        <w:rPr/>
        <w:t>benefits, is</w:t>
      </w:r>
      <w:r>
        <w:rPr>
          <w:spacing w:val="-3"/>
        </w:rPr>
        <w:t> </w:t>
      </w:r>
      <w:r>
        <w:rPr/>
        <w:t>the</w:t>
      </w:r>
      <w:r>
        <w:rPr>
          <w:spacing w:val="-5"/>
        </w:rPr>
        <w:t> </w:t>
      </w:r>
      <w:r>
        <w:rPr/>
        <w:t>only</w:t>
      </w:r>
      <w:r>
        <w:rPr>
          <w:spacing w:val="-7"/>
        </w:rPr>
        <w:t> </w:t>
      </w:r>
      <w:r>
        <w:rPr/>
        <w:t>one, and</w:t>
      </w:r>
      <w:r>
        <w:rPr>
          <w:spacing w:val="-2"/>
        </w:rPr>
        <w:t> </w:t>
      </w:r>
      <w:r>
        <w:rPr/>
        <w:t>all the</w:t>
      </w:r>
      <w:r>
        <w:rPr>
          <w:spacing w:val="-5"/>
        </w:rPr>
        <w:t> </w:t>
      </w:r>
      <w:r>
        <w:rPr/>
        <w:t>actions</w:t>
      </w:r>
      <w:r>
        <w:rPr>
          <w:spacing w:val="-3"/>
        </w:rPr>
        <w:t> </w:t>
      </w:r>
      <w:r>
        <w:rPr/>
        <w:t>associated with its implementation, are artificially created construction.</w:t>
      </w:r>
    </w:p>
    <w:p>
      <w:pPr>
        <w:pStyle w:val="BodyText"/>
        <w:spacing w:line="360" w:lineRule="auto" w:before="118"/>
        <w:ind w:left="23" w:right="654" w:firstLine="710"/>
      </w:pPr>
      <w:r>
        <w:rPr/>
        <w:t>Thus, there is a conflict of the rules of the “principle purpose”, which has the international legal</w:t>
      </w:r>
      <w:r>
        <w:rPr>
          <w:spacing w:val="40"/>
        </w:rPr>
        <w:t> </w:t>
      </w:r>
      <w:r>
        <w:rPr/>
        <w:t>and internal legislative basis in the Russian Federation, and the principle of “business purpose”, which is used to resolve disputes on the implementation of preferential terms of DTAA in the Russian courts even more often in 2019 after MLI BEPS implementation (Supreme Court of Russian Federation, 2019). Nevertheless, taking into account the fact that the Russian Federation supports the idea of Multilateral Convention and expresses its desire to use the provisions regarding DTAA, the country should strive for their</w:t>
      </w:r>
      <w:r>
        <w:rPr>
          <w:spacing w:val="29"/>
        </w:rPr>
        <w:t> </w:t>
      </w:r>
      <w:r>
        <w:rPr/>
        <w:t>practical implementation</w:t>
      </w:r>
      <w:r>
        <w:rPr>
          <w:spacing w:val="29"/>
        </w:rPr>
        <w:t> </w:t>
      </w:r>
      <w:r>
        <w:rPr/>
        <w:t>without attributing to the “modifying nature” of its norms</w:t>
      </w:r>
      <w:r>
        <w:rPr>
          <w:spacing w:val="33"/>
        </w:rPr>
        <w:t> </w:t>
      </w:r>
      <w:r>
        <w:rPr/>
        <w:t>(OECD, 2019). We believe that the efforts are demanded from both a single state and the international community in</w:t>
      </w:r>
      <w:r>
        <w:rPr>
          <w:spacing w:val="40"/>
        </w:rPr>
        <w:t> </w:t>
      </w:r>
      <w:r>
        <w:rPr/>
        <w:t>general in order to come to real a “common understanding” and develop universal anti-tax evasion </w:t>
      </w:r>
      <w:r>
        <w:rPr>
          <w:spacing w:val="-2"/>
        </w:rPr>
        <w:t>instruments.</w:t>
      </w:r>
    </w:p>
    <w:p>
      <w:pPr>
        <w:pStyle w:val="Heading3"/>
        <w:spacing w:before="128"/>
        <w:ind w:left="787" w:firstLine="0"/>
      </w:pPr>
      <w:r>
        <w:rPr/>
        <w:t>Simplified</w:t>
      </w:r>
      <w:r>
        <w:rPr>
          <w:spacing w:val="-11"/>
        </w:rPr>
        <w:t> </w:t>
      </w:r>
      <w:r>
        <w:rPr/>
        <w:t>Limitation</w:t>
      </w:r>
      <w:r>
        <w:rPr>
          <w:spacing w:val="-7"/>
        </w:rPr>
        <w:t> </w:t>
      </w:r>
      <w:r>
        <w:rPr/>
        <w:t>of</w:t>
      </w:r>
      <w:r>
        <w:rPr>
          <w:spacing w:val="-6"/>
        </w:rPr>
        <w:t> </w:t>
      </w:r>
      <w:r>
        <w:rPr/>
        <w:t>Benefits</w:t>
      </w:r>
      <w:r>
        <w:rPr>
          <w:spacing w:val="-3"/>
        </w:rPr>
        <w:t> </w:t>
      </w:r>
      <w:r>
        <w:rPr>
          <w:spacing w:val="-4"/>
        </w:rPr>
        <w:t>(LOB)</w:t>
      </w:r>
    </w:p>
    <w:p>
      <w:pPr>
        <w:pStyle w:val="BodyText"/>
        <w:spacing w:before="1"/>
        <w:jc w:val="left"/>
        <w:rPr>
          <w:b/>
        </w:rPr>
      </w:pPr>
    </w:p>
    <w:p>
      <w:pPr>
        <w:pStyle w:val="BodyText"/>
        <w:spacing w:line="360" w:lineRule="auto"/>
        <w:ind w:left="23" w:right="654" w:firstLine="710"/>
      </w:pPr>
      <w:r>
        <w:rPr/>
        <w:t>The concept of benefits limitation is actively used in the tax agreements in the USA, Japan and India. They provide for the presence of such a category as an authorized person. It is a person, who is recognized as having the right to receive preferences under tax agreements. The report provides for five categories of</w:t>
      </w:r>
      <w:r>
        <w:rPr>
          <w:spacing w:val="-2"/>
        </w:rPr>
        <w:t> </w:t>
      </w:r>
      <w:r>
        <w:rPr/>
        <w:t>authorized persons. Individuals are</w:t>
      </w:r>
      <w:r>
        <w:rPr>
          <w:spacing w:val="-4"/>
        </w:rPr>
        <w:t> </w:t>
      </w:r>
      <w:r>
        <w:rPr/>
        <w:t>recognized as authorized persons a priori. This is probably due to the presumption that an individual will not become a resident of one of the states solely for the purpose of</w:t>
      </w:r>
      <w:r>
        <w:rPr>
          <w:spacing w:val="-2"/>
        </w:rPr>
        <w:t> </w:t>
      </w:r>
      <w:r>
        <w:rPr/>
        <w:t>tax benefit</w:t>
      </w:r>
      <w:r>
        <w:rPr>
          <w:spacing w:val="40"/>
        </w:rPr>
        <w:t> </w:t>
      </w:r>
      <w:r>
        <w:rPr/>
        <w:t>but if</w:t>
      </w:r>
      <w:r>
        <w:rPr>
          <w:spacing w:val="-3"/>
        </w:rPr>
        <w:t> </w:t>
      </w:r>
      <w:r>
        <w:rPr/>
        <w:t>such a situation occurs the</w:t>
      </w:r>
      <w:r>
        <w:rPr>
          <w:spacing w:val="-1"/>
        </w:rPr>
        <w:t> </w:t>
      </w:r>
      <w:r>
        <w:rPr/>
        <w:t>connection between a</w:t>
      </w:r>
      <w:r>
        <w:rPr>
          <w:spacing w:val="-1"/>
        </w:rPr>
        <w:t> </w:t>
      </w:r>
      <w:r>
        <w:rPr/>
        <w:t>new</w:t>
      </w:r>
      <w:r>
        <w:rPr>
          <w:spacing w:val="-4"/>
        </w:rPr>
        <w:t> </w:t>
      </w:r>
      <w:r>
        <w:rPr/>
        <w:t>place</w:t>
      </w:r>
      <w:r>
        <w:rPr>
          <w:spacing w:val="-1"/>
        </w:rPr>
        <w:t> </w:t>
      </w:r>
      <w:r>
        <w:rPr/>
        <w:t>and a</w:t>
      </w:r>
      <w:r>
        <w:rPr>
          <w:spacing w:val="-1"/>
        </w:rPr>
        <w:t> </w:t>
      </w:r>
      <w:r>
        <w:rPr/>
        <w:t>resident will become to be strong enough to consider him an “authorized person”. The second category includes governments, the Central Bank, other persons, who are directly or indirectly owned by Contracting States and other state entities. Then there are listed publicly</w:t>
      </w:r>
      <w:r>
        <w:rPr>
          <w:spacing w:val="-5"/>
        </w:rPr>
        <w:t> </w:t>
      </w:r>
      <w:r>
        <w:rPr/>
        <w:t>traded</w:t>
      </w:r>
      <w:r>
        <w:rPr>
          <w:spacing w:val="-1"/>
        </w:rPr>
        <w:t> </w:t>
      </w:r>
      <w:r>
        <w:rPr/>
        <w:t>companies, pension funds, and charities. Table 1 presents the possibilities for obtaining benefits and the conditions for receiving them.</w:t>
      </w:r>
    </w:p>
    <w:p>
      <w:pPr>
        <w:pStyle w:val="BodyText"/>
        <w:jc w:val="left"/>
      </w:pPr>
    </w:p>
    <w:p>
      <w:pPr>
        <w:pStyle w:val="BodyText"/>
        <w:spacing w:before="123"/>
        <w:jc w:val="left"/>
      </w:pPr>
    </w:p>
    <w:p>
      <w:pPr>
        <w:pStyle w:val="BodyText"/>
        <w:ind w:left="75"/>
        <w:jc w:val="center"/>
      </w:pPr>
      <w:r>
        <w:rPr>
          <w:b/>
        </w:rPr>
        <w:t>Table</w:t>
      </w:r>
      <w:r>
        <w:rPr>
          <w:b/>
          <w:spacing w:val="-9"/>
        </w:rPr>
        <w:t> </w:t>
      </w:r>
      <w:r>
        <w:rPr>
          <w:b/>
        </w:rPr>
        <w:t>1</w:t>
      </w:r>
      <w:r>
        <w:rPr/>
        <w:t>.</w:t>
      </w:r>
      <w:r>
        <w:rPr>
          <w:spacing w:val="-6"/>
        </w:rPr>
        <w:t> </w:t>
      </w:r>
      <w:r>
        <w:rPr/>
        <w:t>Getting</w:t>
      </w:r>
      <w:r>
        <w:rPr>
          <w:spacing w:val="-9"/>
        </w:rPr>
        <w:t> </w:t>
      </w:r>
      <w:r>
        <w:rPr/>
        <w:t>benefits</w:t>
      </w:r>
      <w:r>
        <w:rPr>
          <w:spacing w:val="-5"/>
        </w:rPr>
        <w:t> </w:t>
      </w:r>
      <w:r>
        <w:rPr/>
        <w:t>under</w:t>
      </w:r>
      <w:r>
        <w:rPr>
          <w:spacing w:val="-4"/>
        </w:rPr>
        <w:t> </w:t>
      </w:r>
      <w:r>
        <w:rPr/>
        <w:t>the</w:t>
      </w:r>
      <w:r>
        <w:rPr>
          <w:spacing w:val="-7"/>
        </w:rPr>
        <w:t> </w:t>
      </w:r>
      <w:r>
        <w:rPr/>
        <w:t>concept </w:t>
      </w:r>
      <w:r>
        <w:rPr>
          <w:spacing w:val="-5"/>
        </w:rPr>
        <w:t>LOB</w:t>
      </w:r>
    </w:p>
    <w:p>
      <w:pPr>
        <w:pStyle w:val="BodyText"/>
        <w:spacing w:before="15"/>
        <w:jc w:val="left"/>
      </w:pPr>
    </w:p>
    <w:tbl>
      <w:tblPr>
        <w:tblW w:w="0" w:type="auto"/>
        <w:jc w:val="left"/>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2"/>
        <w:gridCol w:w="4451"/>
      </w:tblGrid>
      <w:tr>
        <w:trPr>
          <w:trHeight w:val="585" w:hRule="atLeast"/>
        </w:trPr>
        <w:tc>
          <w:tcPr>
            <w:tcW w:w="4332" w:type="dxa"/>
          </w:tcPr>
          <w:p>
            <w:pPr>
              <w:pStyle w:val="TableParagraph"/>
              <w:spacing w:before="110"/>
              <w:ind w:left="816"/>
              <w:rPr>
                <w:sz w:val="20"/>
              </w:rPr>
            </w:pPr>
            <w:r>
              <w:rPr>
                <w:sz w:val="20"/>
              </w:rPr>
              <w:t>Name</w:t>
            </w:r>
            <w:r>
              <w:rPr>
                <w:spacing w:val="-4"/>
                <w:sz w:val="20"/>
              </w:rPr>
              <w:t> </w:t>
            </w:r>
            <w:r>
              <w:rPr>
                <w:sz w:val="20"/>
              </w:rPr>
              <w:t>of</w:t>
            </w:r>
            <w:r>
              <w:rPr>
                <w:spacing w:val="-5"/>
                <w:sz w:val="20"/>
              </w:rPr>
              <w:t> </w:t>
            </w:r>
            <w:r>
              <w:rPr>
                <w:spacing w:val="-2"/>
                <w:sz w:val="20"/>
              </w:rPr>
              <w:t>condition</w:t>
            </w:r>
          </w:p>
        </w:tc>
        <w:tc>
          <w:tcPr>
            <w:tcW w:w="4451" w:type="dxa"/>
          </w:tcPr>
          <w:p>
            <w:pPr>
              <w:pStyle w:val="TableParagraph"/>
              <w:spacing w:before="110"/>
              <w:ind w:left="815"/>
              <w:rPr>
                <w:sz w:val="20"/>
              </w:rPr>
            </w:pPr>
            <w:r>
              <w:rPr>
                <w:sz w:val="20"/>
              </w:rPr>
              <w:t>Possibility</w:t>
            </w:r>
            <w:r>
              <w:rPr>
                <w:spacing w:val="-11"/>
                <w:sz w:val="20"/>
              </w:rPr>
              <w:t> </w:t>
            </w:r>
            <w:r>
              <w:rPr>
                <w:sz w:val="20"/>
              </w:rPr>
              <w:t>of</w:t>
            </w:r>
            <w:r>
              <w:rPr>
                <w:spacing w:val="-6"/>
                <w:sz w:val="20"/>
              </w:rPr>
              <w:t> </w:t>
            </w:r>
            <w:r>
              <w:rPr>
                <w:sz w:val="20"/>
              </w:rPr>
              <w:t>obtaining</w:t>
            </w:r>
            <w:r>
              <w:rPr>
                <w:spacing w:val="-5"/>
                <w:sz w:val="20"/>
              </w:rPr>
              <w:t> </w:t>
            </w:r>
            <w:r>
              <w:rPr>
                <w:spacing w:val="-2"/>
                <w:sz w:val="20"/>
              </w:rPr>
              <w:t>benefits</w:t>
            </w:r>
          </w:p>
        </w:tc>
      </w:tr>
      <w:tr>
        <w:trPr>
          <w:trHeight w:val="1622" w:hRule="atLeast"/>
        </w:trPr>
        <w:tc>
          <w:tcPr>
            <w:tcW w:w="4332" w:type="dxa"/>
          </w:tcPr>
          <w:p>
            <w:pPr>
              <w:pStyle w:val="TableParagraph"/>
              <w:ind w:left="816"/>
              <w:rPr>
                <w:sz w:val="20"/>
              </w:rPr>
            </w:pPr>
            <w:r>
              <w:rPr>
                <w:sz w:val="20"/>
              </w:rPr>
              <w:t>The</w:t>
            </w:r>
            <w:r>
              <w:rPr>
                <w:spacing w:val="-8"/>
                <w:sz w:val="20"/>
              </w:rPr>
              <w:t> </w:t>
            </w:r>
            <w:r>
              <w:rPr>
                <w:sz w:val="20"/>
              </w:rPr>
              <w:t>look-through</w:t>
            </w:r>
            <w:r>
              <w:rPr>
                <w:spacing w:val="-5"/>
                <w:sz w:val="20"/>
              </w:rPr>
              <w:t> </w:t>
            </w:r>
            <w:r>
              <w:rPr>
                <w:spacing w:val="-2"/>
                <w:sz w:val="20"/>
              </w:rPr>
              <w:t>approach</w:t>
            </w:r>
          </w:p>
        </w:tc>
        <w:tc>
          <w:tcPr>
            <w:tcW w:w="4451" w:type="dxa"/>
          </w:tcPr>
          <w:p>
            <w:pPr>
              <w:pStyle w:val="TableParagraph"/>
              <w:spacing w:line="360" w:lineRule="auto"/>
              <w:ind w:left="104" w:right="101" w:firstLine="710"/>
              <w:jc w:val="both"/>
              <w:rPr>
                <w:sz w:val="20"/>
              </w:rPr>
            </w:pPr>
            <w:r>
              <w:rPr>
                <w:sz w:val="20"/>
              </w:rPr>
              <w:t>The possibility of obtaining benefits depends on the presence of direct or indirect participation of</w:t>
            </w:r>
            <w:r>
              <w:rPr>
                <w:spacing w:val="-5"/>
                <w:sz w:val="20"/>
              </w:rPr>
              <w:t> </w:t>
            </w:r>
            <w:r>
              <w:rPr>
                <w:sz w:val="20"/>
              </w:rPr>
              <w:t>the</w:t>
            </w:r>
            <w:r>
              <w:rPr>
                <w:spacing w:val="-8"/>
                <w:sz w:val="20"/>
              </w:rPr>
              <w:t> </w:t>
            </w:r>
            <w:r>
              <w:rPr>
                <w:sz w:val="20"/>
              </w:rPr>
              <w:t>recipient of</w:t>
            </w:r>
            <w:r>
              <w:rPr>
                <w:spacing w:val="-5"/>
                <w:sz w:val="20"/>
              </w:rPr>
              <w:t> </w:t>
            </w:r>
            <w:r>
              <w:rPr>
                <w:sz w:val="20"/>
              </w:rPr>
              <w:t>income</w:t>
            </w:r>
            <w:r>
              <w:rPr>
                <w:spacing w:val="-3"/>
                <w:sz w:val="20"/>
              </w:rPr>
              <w:t> </w:t>
            </w:r>
            <w:r>
              <w:rPr>
                <w:sz w:val="20"/>
              </w:rPr>
              <w:t>in the</w:t>
            </w:r>
            <w:r>
              <w:rPr>
                <w:spacing w:val="-3"/>
                <w:sz w:val="20"/>
              </w:rPr>
              <w:t> </w:t>
            </w:r>
            <w:r>
              <w:rPr>
                <w:sz w:val="20"/>
              </w:rPr>
              <w:t>capital of the payer of income</w:t>
            </w:r>
          </w:p>
        </w:tc>
      </w:tr>
    </w:tbl>
    <w:p>
      <w:pPr>
        <w:pStyle w:val="TableParagraph"/>
        <w:spacing w:after="0" w:line="360" w:lineRule="auto"/>
        <w:jc w:val="both"/>
        <w:rPr>
          <w:sz w:val="20"/>
        </w:rPr>
        <w:sectPr>
          <w:pgSz w:w="11910" w:h="16840"/>
          <w:pgMar w:header="709" w:footer="695" w:top="1320" w:bottom="880" w:left="1417" w:right="1133"/>
        </w:sectPr>
      </w:pPr>
    </w:p>
    <w:p>
      <w:pPr>
        <w:pStyle w:val="BodyText"/>
        <w:spacing w:before="8"/>
        <w:jc w:val="left"/>
        <w:rPr>
          <w:sz w:val="8"/>
        </w:rPr>
      </w:pPr>
    </w:p>
    <w:tbl>
      <w:tblPr>
        <w:tblW w:w="0" w:type="auto"/>
        <w:jc w:val="left"/>
        <w:tblInd w:w="3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2"/>
        <w:gridCol w:w="4451"/>
      </w:tblGrid>
      <w:tr>
        <w:trPr>
          <w:trHeight w:val="930" w:hRule="atLeast"/>
        </w:trPr>
        <w:tc>
          <w:tcPr>
            <w:tcW w:w="4332" w:type="dxa"/>
          </w:tcPr>
          <w:p>
            <w:pPr>
              <w:pStyle w:val="TableParagraph"/>
              <w:spacing w:before="110"/>
              <w:ind w:left="821"/>
              <w:rPr>
                <w:sz w:val="20"/>
              </w:rPr>
            </w:pPr>
            <w:r>
              <w:rPr>
                <w:sz w:val="20"/>
              </w:rPr>
              <w:t>The</w:t>
            </w:r>
            <w:r>
              <w:rPr>
                <w:spacing w:val="-9"/>
                <w:sz w:val="20"/>
              </w:rPr>
              <w:t> </w:t>
            </w:r>
            <w:r>
              <w:rPr>
                <w:sz w:val="20"/>
              </w:rPr>
              <w:t>subject-to-tax</w:t>
            </w:r>
            <w:r>
              <w:rPr>
                <w:spacing w:val="-9"/>
                <w:sz w:val="20"/>
              </w:rPr>
              <w:t> </w:t>
            </w:r>
            <w:r>
              <w:rPr>
                <w:spacing w:val="-2"/>
                <w:sz w:val="20"/>
              </w:rPr>
              <w:t>approach</w:t>
            </w:r>
          </w:p>
        </w:tc>
        <w:tc>
          <w:tcPr>
            <w:tcW w:w="4451" w:type="dxa"/>
          </w:tcPr>
          <w:p>
            <w:pPr>
              <w:pStyle w:val="TableParagraph"/>
              <w:spacing w:line="360" w:lineRule="auto" w:before="110"/>
              <w:ind w:firstLine="710"/>
              <w:rPr>
                <w:sz w:val="20"/>
              </w:rPr>
            </w:pPr>
            <w:r>
              <w:rPr>
                <w:sz w:val="20"/>
              </w:rPr>
              <w:t>The</w:t>
            </w:r>
            <w:r>
              <w:rPr>
                <w:spacing w:val="-7"/>
                <w:sz w:val="20"/>
              </w:rPr>
              <w:t> </w:t>
            </w:r>
            <w:r>
              <w:rPr>
                <w:sz w:val="20"/>
              </w:rPr>
              <w:t>provision of</w:t>
            </w:r>
            <w:r>
              <w:rPr>
                <w:spacing w:val="-4"/>
                <w:sz w:val="20"/>
              </w:rPr>
              <w:t> </w:t>
            </w:r>
            <w:r>
              <w:rPr>
                <w:sz w:val="20"/>
              </w:rPr>
              <w:t>benefits</w:t>
            </w:r>
            <w:r>
              <w:rPr>
                <w:spacing w:val="-5"/>
                <w:sz w:val="20"/>
              </w:rPr>
              <w:t> </w:t>
            </w:r>
            <w:r>
              <w:rPr>
                <w:sz w:val="20"/>
              </w:rPr>
              <w:t>is</w:t>
            </w:r>
            <w:r>
              <w:rPr>
                <w:spacing w:val="-5"/>
                <w:sz w:val="20"/>
              </w:rPr>
              <w:t> </w:t>
            </w:r>
            <w:r>
              <w:rPr>
                <w:sz w:val="20"/>
              </w:rPr>
              <w:t>possible</w:t>
            </w:r>
            <w:r>
              <w:rPr>
                <w:spacing w:val="-2"/>
                <w:sz w:val="20"/>
              </w:rPr>
              <w:t> </w:t>
            </w:r>
            <w:r>
              <w:rPr>
                <w:sz w:val="20"/>
              </w:rPr>
              <w:t>only</w:t>
            </w:r>
            <w:r>
              <w:rPr>
                <w:spacing w:val="-13"/>
                <w:sz w:val="20"/>
              </w:rPr>
              <w:t> </w:t>
            </w:r>
            <w:r>
              <w:rPr>
                <w:sz w:val="20"/>
              </w:rPr>
              <w:t>in the jurisdiction, in which taxation takes place</w:t>
            </w:r>
          </w:p>
        </w:tc>
      </w:tr>
      <w:tr>
        <w:trPr>
          <w:trHeight w:val="1963" w:hRule="atLeast"/>
        </w:trPr>
        <w:tc>
          <w:tcPr>
            <w:tcW w:w="4332" w:type="dxa"/>
          </w:tcPr>
          <w:p>
            <w:pPr>
              <w:pStyle w:val="TableParagraph"/>
              <w:ind w:left="821"/>
              <w:rPr>
                <w:sz w:val="20"/>
              </w:rPr>
            </w:pPr>
            <w:r>
              <w:rPr>
                <w:sz w:val="20"/>
              </w:rPr>
              <w:t>Ownership-Base</w:t>
            </w:r>
            <w:r>
              <w:rPr>
                <w:spacing w:val="-13"/>
                <w:sz w:val="20"/>
              </w:rPr>
              <w:t> </w:t>
            </w:r>
            <w:r>
              <w:rPr>
                <w:sz w:val="20"/>
              </w:rPr>
              <w:t>Erosion</w:t>
            </w:r>
            <w:r>
              <w:rPr>
                <w:spacing w:val="-9"/>
                <w:sz w:val="20"/>
              </w:rPr>
              <w:t> </w:t>
            </w:r>
            <w:r>
              <w:rPr>
                <w:spacing w:val="-4"/>
                <w:sz w:val="20"/>
              </w:rPr>
              <w:t>Test</w:t>
            </w:r>
          </w:p>
        </w:tc>
        <w:tc>
          <w:tcPr>
            <w:tcW w:w="4451" w:type="dxa"/>
          </w:tcPr>
          <w:p>
            <w:pPr>
              <w:pStyle w:val="TableParagraph"/>
              <w:spacing w:line="360" w:lineRule="auto"/>
              <w:ind w:right="93" w:firstLine="710"/>
              <w:jc w:val="both"/>
              <w:rPr>
                <w:sz w:val="20"/>
              </w:rPr>
            </w:pPr>
            <w:r>
              <w:rPr>
                <w:sz w:val="20"/>
              </w:rPr>
              <w:t>More</w:t>
            </w:r>
            <w:r>
              <w:rPr>
                <w:spacing w:val="-2"/>
                <w:sz w:val="20"/>
              </w:rPr>
              <w:t> </w:t>
            </w:r>
            <w:r>
              <w:rPr>
                <w:sz w:val="20"/>
              </w:rPr>
              <w:t>than 50% of</w:t>
            </w:r>
            <w:r>
              <w:rPr>
                <w:spacing w:val="-4"/>
                <w:sz w:val="20"/>
              </w:rPr>
              <w:t> </w:t>
            </w:r>
            <w:r>
              <w:rPr>
                <w:sz w:val="20"/>
              </w:rPr>
              <w:t>the vote and the</w:t>
            </w:r>
            <w:r>
              <w:rPr>
                <w:spacing w:val="-2"/>
                <w:sz w:val="20"/>
              </w:rPr>
              <w:t> </w:t>
            </w:r>
            <w:r>
              <w:rPr>
                <w:sz w:val="20"/>
              </w:rPr>
              <w:t>value</w:t>
            </w:r>
            <w:r>
              <w:rPr>
                <w:spacing w:val="-2"/>
                <w:sz w:val="20"/>
              </w:rPr>
              <w:t> </w:t>
            </w:r>
            <w:r>
              <w:rPr>
                <w:sz w:val="20"/>
              </w:rPr>
              <w:t>of the shares of the company must be directly or indirectly owned by residents of the same country with the company. This is the core of the "possession" of the test.</w:t>
            </w:r>
          </w:p>
        </w:tc>
      </w:tr>
      <w:tr>
        <w:trPr>
          <w:trHeight w:val="1622" w:hRule="atLeast"/>
        </w:trPr>
        <w:tc>
          <w:tcPr>
            <w:tcW w:w="4332" w:type="dxa"/>
          </w:tcPr>
          <w:p>
            <w:pPr>
              <w:pStyle w:val="TableParagraph"/>
              <w:ind w:left="821"/>
              <w:rPr>
                <w:sz w:val="20"/>
              </w:rPr>
            </w:pPr>
            <w:r>
              <w:rPr>
                <w:sz w:val="20"/>
              </w:rPr>
              <w:t>General</w:t>
            </w:r>
            <w:r>
              <w:rPr>
                <w:spacing w:val="-6"/>
                <w:sz w:val="20"/>
              </w:rPr>
              <w:t> </w:t>
            </w:r>
            <w:r>
              <w:rPr>
                <w:sz w:val="20"/>
              </w:rPr>
              <w:t>bona</w:t>
            </w:r>
            <w:r>
              <w:rPr>
                <w:spacing w:val="-2"/>
                <w:sz w:val="20"/>
              </w:rPr>
              <w:t> </w:t>
            </w:r>
            <w:r>
              <w:rPr>
                <w:sz w:val="20"/>
              </w:rPr>
              <w:t>fide</w:t>
            </w:r>
            <w:r>
              <w:rPr>
                <w:spacing w:val="-5"/>
                <w:sz w:val="20"/>
              </w:rPr>
              <w:t> </w:t>
            </w:r>
            <w:r>
              <w:rPr>
                <w:spacing w:val="-2"/>
                <w:sz w:val="20"/>
              </w:rPr>
              <w:t>provision</w:t>
            </w:r>
          </w:p>
        </w:tc>
        <w:tc>
          <w:tcPr>
            <w:tcW w:w="4451" w:type="dxa"/>
          </w:tcPr>
          <w:p>
            <w:pPr>
              <w:pStyle w:val="TableParagraph"/>
              <w:spacing w:line="360" w:lineRule="auto"/>
              <w:ind w:right="92" w:firstLine="710"/>
              <w:jc w:val="both"/>
              <w:rPr>
                <w:sz w:val="20"/>
              </w:rPr>
            </w:pPr>
            <w:r>
              <w:rPr>
                <w:sz w:val="20"/>
              </w:rPr>
              <w:t>A bona fide test, like a test for physical presence, includes one of the ways, in which a person can claim to exclude the tax base of income earned abroad</w:t>
            </w:r>
          </w:p>
        </w:tc>
      </w:tr>
      <w:tr>
        <w:trPr>
          <w:trHeight w:val="2655" w:hRule="atLeast"/>
        </w:trPr>
        <w:tc>
          <w:tcPr>
            <w:tcW w:w="4332" w:type="dxa"/>
          </w:tcPr>
          <w:p>
            <w:pPr>
              <w:pStyle w:val="TableParagraph"/>
              <w:ind w:left="821"/>
              <w:rPr>
                <w:sz w:val="20"/>
              </w:rPr>
            </w:pPr>
            <w:r>
              <w:rPr>
                <w:sz w:val="20"/>
              </w:rPr>
              <w:t>Active</w:t>
            </w:r>
            <w:r>
              <w:rPr>
                <w:spacing w:val="-9"/>
                <w:sz w:val="20"/>
              </w:rPr>
              <w:t> </w:t>
            </w:r>
            <w:r>
              <w:rPr>
                <w:sz w:val="20"/>
              </w:rPr>
              <w:t>Trade</w:t>
            </w:r>
            <w:r>
              <w:rPr>
                <w:spacing w:val="-7"/>
                <w:sz w:val="20"/>
              </w:rPr>
              <w:t> </w:t>
            </w:r>
            <w:r>
              <w:rPr>
                <w:sz w:val="20"/>
              </w:rPr>
              <w:t>or</w:t>
            </w:r>
            <w:r>
              <w:rPr>
                <w:spacing w:val="-4"/>
                <w:sz w:val="20"/>
              </w:rPr>
              <w:t> </w:t>
            </w:r>
            <w:r>
              <w:rPr>
                <w:sz w:val="20"/>
              </w:rPr>
              <w:t>Business</w:t>
            </w:r>
            <w:r>
              <w:rPr>
                <w:spacing w:val="-5"/>
                <w:sz w:val="20"/>
              </w:rPr>
              <w:t> </w:t>
            </w:r>
            <w:r>
              <w:rPr>
                <w:spacing w:val="-4"/>
                <w:sz w:val="20"/>
              </w:rPr>
              <w:t>Test</w:t>
            </w:r>
          </w:p>
        </w:tc>
        <w:tc>
          <w:tcPr>
            <w:tcW w:w="4451" w:type="dxa"/>
          </w:tcPr>
          <w:p>
            <w:pPr>
              <w:pStyle w:val="TableParagraph"/>
              <w:spacing w:line="360" w:lineRule="auto"/>
              <w:ind w:right="91" w:firstLine="710"/>
              <w:jc w:val="both"/>
              <w:rPr>
                <w:sz w:val="20"/>
              </w:rPr>
            </w:pPr>
            <w:r>
              <w:rPr>
                <w:sz w:val="20"/>
              </w:rPr>
              <w:t>The company must be engaged in active trading or business in the country of its actual location. Its activities in this country are significant in relation to</w:t>
            </w:r>
            <w:r>
              <w:rPr>
                <w:spacing w:val="-2"/>
                <w:sz w:val="20"/>
              </w:rPr>
              <w:t> </w:t>
            </w:r>
            <w:r>
              <w:rPr>
                <w:sz w:val="20"/>
              </w:rPr>
              <w:t>its activities in a particular jurisdiction if the payer is a related party and income must be received in connection with this trade or business or related to it</w:t>
            </w:r>
          </w:p>
        </w:tc>
      </w:tr>
      <w:tr>
        <w:trPr>
          <w:trHeight w:val="1622" w:hRule="atLeast"/>
        </w:trPr>
        <w:tc>
          <w:tcPr>
            <w:tcW w:w="4332" w:type="dxa"/>
          </w:tcPr>
          <w:p>
            <w:pPr>
              <w:pStyle w:val="TableParagraph"/>
              <w:spacing w:before="110"/>
              <w:ind w:left="821"/>
              <w:rPr>
                <w:sz w:val="20"/>
              </w:rPr>
            </w:pPr>
            <w:r>
              <w:rPr>
                <w:sz w:val="20"/>
              </w:rPr>
              <w:t>Amount</w:t>
            </w:r>
            <w:r>
              <w:rPr>
                <w:spacing w:val="-2"/>
                <w:sz w:val="20"/>
              </w:rPr>
              <w:t> </w:t>
            </w:r>
            <w:r>
              <w:rPr>
                <w:sz w:val="20"/>
              </w:rPr>
              <w:t>of</w:t>
            </w:r>
            <w:r>
              <w:rPr>
                <w:spacing w:val="-5"/>
                <w:sz w:val="20"/>
              </w:rPr>
              <w:t> </w:t>
            </w:r>
            <w:r>
              <w:rPr>
                <w:sz w:val="20"/>
              </w:rPr>
              <w:t>tax</w:t>
            </w:r>
            <w:r>
              <w:rPr>
                <w:spacing w:val="-4"/>
                <w:sz w:val="20"/>
              </w:rPr>
              <w:t> </w:t>
            </w:r>
            <w:r>
              <w:rPr>
                <w:spacing w:val="-2"/>
                <w:sz w:val="20"/>
              </w:rPr>
              <w:t>provision)</w:t>
            </w:r>
          </w:p>
        </w:tc>
        <w:tc>
          <w:tcPr>
            <w:tcW w:w="4451" w:type="dxa"/>
          </w:tcPr>
          <w:p>
            <w:pPr>
              <w:pStyle w:val="TableParagraph"/>
              <w:spacing w:line="360" w:lineRule="auto" w:before="110"/>
              <w:ind w:right="94" w:firstLine="710"/>
              <w:jc w:val="both"/>
              <w:rPr>
                <w:sz w:val="20"/>
              </w:rPr>
            </w:pPr>
            <w:r>
              <w:rPr>
                <w:sz w:val="20"/>
              </w:rPr>
              <w:t>Benefits are provided in such a way that their total amount does not exceed the amount of taxes actually paid by the taxpayer in the state, in which he is a resident</w:t>
            </w:r>
          </w:p>
        </w:tc>
      </w:tr>
      <w:tr>
        <w:trPr>
          <w:trHeight w:val="3000" w:hRule="atLeast"/>
        </w:trPr>
        <w:tc>
          <w:tcPr>
            <w:tcW w:w="4332" w:type="dxa"/>
          </w:tcPr>
          <w:p>
            <w:pPr>
              <w:pStyle w:val="TableParagraph"/>
              <w:spacing w:before="110"/>
              <w:ind w:left="821"/>
              <w:rPr>
                <w:sz w:val="20"/>
              </w:rPr>
            </w:pPr>
            <w:r>
              <w:rPr>
                <w:sz w:val="20"/>
              </w:rPr>
              <w:t>Stock</w:t>
            </w:r>
            <w:r>
              <w:rPr>
                <w:spacing w:val="-6"/>
                <w:sz w:val="20"/>
              </w:rPr>
              <w:t> </w:t>
            </w:r>
            <w:r>
              <w:rPr>
                <w:sz w:val="20"/>
              </w:rPr>
              <w:t>exchange</w:t>
            </w:r>
            <w:r>
              <w:rPr>
                <w:spacing w:val="-7"/>
                <w:sz w:val="20"/>
              </w:rPr>
              <w:t> </w:t>
            </w:r>
            <w:r>
              <w:rPr>
                <w:spacing w:val="-2"/>
                <w:sz w:val="20"/>
              </w:rPr>
              <w:t>provision</w:t>
            </w:r>
          </w:p>
        </w:tc>
        <w:tc>
          <w:tcPr>
            <w:tcW w:w="4451" w:type="dxa"/>
          </w:tcPr>
          <w:p>
            <w:pPr>
              <w:pStyle w:val="TableParagraph"/>
              <w:spacing w:line="360" w:lineRule="auto" w:before="110"/>
              <w:ind w:right="89" w:firstLine="710"/>
              <w:jc w:val="both"/>
              <w:rPr>
                <w:sz w:val="20"/>
              </w:rPr>
            </w:pPr>
            <w:r>
              <w:rPr>
                <w:sz w:val="20"/>
              </w:rPr>
              <w:t>Benefits provision depends on the categories of shares of an enterprise, in accordance with which they are quoted on a stock exchange, in the jurisdiction of which he is a resident or beneficiary</w:t>
            </w:r>
            <w:r>
              <w:rPr>
                <w:spacing w:val="-4"/>
                <w:sz w:val="20"/>
              </w:rPr>
              <w:t> </w:t>
            </w:r>
            <w:r>
              <w:rPr>
                <w:sz w:val="20"/>
              </w:rPr>
              <w:t>is controlled directly or indirectly by the corporation, whose shares in a certain amount are traded on a stock exchange in the jurisdiction of its </w:t>
            </w:r>
            <w:r>
              <w:rPr>
                <w:spacing w:val="-2"/>
                <w:sz w:val="20"/>
              </w:rPr>
              <w:t>residency</w:t>
            </w:r>
          </w:p>
        </w:tc>
      </w:tr>
      <w:tr>
        <w:trPr>
          <w:trHeight w:val="1272" w:hRule="atLeast"/>
        </w:trPr>
        <w:tc>
          <w:tcPr>
            <w:tcW w:w="4332" w:type="dxa"/>
          </w:tcPr>
          <w:p>
            <w:pPr>
              <w:pStyle w:val="TableParagraph"/>
              <w:ind w:left="821"/>
              <w:rPr>
                <w:sz w:val="20"/>
              </w:rPr>
            </w:pPr>
            <w:r>
              <w:rPr>
                <w:sz w:val="20"/>
              </w:rPr>
              <w:t>Competent</w:t>
            </w:r>
            <w:r>
              <w:rPr>
                <w:spacing w:val="-11"/>
                <w:sz w:val="20"/>
              </w:rPr>
              <w:t> </w:t>
            </w:r>
            <w:r>
              <w:rPr>
                <w:sz w:val="20"/>
              </w:rPr>
              <w:t>authority</w:t>
            </w:r>
            <w:r>
              <w:rPr>
                <w:spacing w:val="-12"/>
                <w:sz w:val="20"/>
              </w:rPr>
              <w:t> </w:t>
            </w:r>
            <w:r>
              <w:rPr>
                <w:spacing w:val="-2"/>
                <w:sz w:val="20"/>
              </w:rPr>
              <w:t>provision</w:t>
            </w:r>
          </w:p>
        </w:tc>
        <w:tc>
          <w:tcPr>
            <w:tcW w:w="4451" w:type="dxa"/>
          </w:tcPr>
          <w:p>
            <w:pPr>
              <w:pStyle w:val="TableParagraph"/>
              <w:spacing w:line="357" w:lineRule="auto"/>
              <w:ind w:right="100" w:firstLine="710"/>
              <w:jc w:val="both"/>
              <w:rPr>
                <w:sz w:val="20"/>
              </w:rPr>
            </w:pPr>
            <w:r>
              <w:rPr>
                <w:sz w:val="20"/>
              </w:rPr>
              <w:t>The provision of tax benefits depends on permission from the tax authority of the state in which the company receives income.</w:t>
            </w:r>
          </w:p>
        </w:tc>
      </w:tr>
    </w:tbl>
    <w:p>
      <w:pPr>
        <w:pStyle w:val="TableParagraph"/>
        <w:spacing w:after="0" w:line="357" w:lineRule="auto"/>
        <w:jc w:val="both"/>
        <w:rPr>
          <w:sz w:val="20"/>
        </w:rPr>
        <w:sectPr>
          <w:pgSz w:w="11910" w:h="16840"/>
          <w:pgMar w:header="709" w:footer="695" w:top="1320" w:bottom="880" w:left="1417" w:right="1133"/>
        </w:sectPr>
      </w:pPr>
    </w:p>
    <w:p>
      <w:pPr>
        <w:pStyle w:val="BodyText"/>
        <w:spacing w:line="360" w:lineRule="auto" w:before="91"/>
        <w:ind w:left="23" w:right="650" w:firstLine="710"/>
      </w:pPr>
      <w:r>
        <w:rPr/>
        <w:drawing>
          <wp:anchor distT="0" distB="0" distL="0" distR="0" allowOverlap="1" layoutInCell="1" locked="0" behindDoc="0" simplePos="0" relativeHeight="15729152">
            <wp:simplePos x="0" y="0"/>
            <wp:positionH relativeFrom="page">
              <wp:posOffset>1365503</wp:posOffset>
            </wp:positionH>
            <wp:positionV relativeFrom="paragraph">
              <wp:posOffset>1673023</wp:posOffset>
            </wp:positionV>
            <wp:extent cx="5465064" cy="3075431"/>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9" cstate="print"/>
                    <a:stretch>
                      <a:fillRect/>
                    </a:stretch>
                  </pic:blipFill>
                  <pic:spPr>
                    <a:xfrm>
                      <a:off x="0" y="0"/>
                      <a:ext cx="5465064" cy="3075431"/>
                    </a:xfrm>
                    <a:prstGeom prst="rect">
                      <a:avLst/>
                    </a:prstGeom>
                  </pic:spPr>
                </pic:pic>
              </a:graphicData>
            </a:graphic>
          </wp:anchor>
        </w:drawing>
      </w:r>
      <w:r>
        <w:rPr/>
        <w:t>As it stated above, the Russian Federation uses “simplified limitation of benefits” as an additional anti-evasive instrument.</w:t>
      </w:r>
      <w:r>
        <w:rPr>
          <w:spacing w:val="40"/>
        </w:rPr>
        <w:t> </w:t>
      </w:r>
      <w:r>
        <w:rPr/>
        <w:t>However, the provision of benefits limitation will not be used in the most of agreements in Russia because some other countries have not considered that it is necessary</w:t>
      </w:r>
      <w:r>
        <w:rPr>
          <w:spacing w:val="-3"/>
        </w:rPr>
        <w:t> </w:t>
      </w:r>
      <w:r>
        <w:rPr/>
        <w:t>to apply</w:t>
      </w:r>
      <w:r>
        <w:rPr>
          <w:spacing w:val="-3"/>
        </w:rPr>
        <w:t> </w:t>
      </w:r>
      <w:r>
        <w:rPr/>
        <w:t>such a provision (for example, Cyprus, Hong Kong, Luxembourg, the Netherlands, France and many other countries). At the same time, for example, these provisions will be considered in the agreements with India because of their ratification by both countries (Korving and Hulten of Deloitte, 2018). Figure 1 contains LOB rules classification signed by Russia with the other countries.</w:t>
      </w: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jc w:val="left"/>
      </w:pPr>
    </w:p>
    <w:p>
      <w:pPr>
        <w:pStyle w:val="BodyText"/>
        <w:spacing w:before="141"/>
        <w:jc w:val="left"/>
      </w:pPr>
    </w:p>
    <w:p>
      <w:pPr>
        <w:pStyle w:val="BodyText"/>
        <w:spacing w:line="360" w:lineRule="auto"/>
        <w:ind w:left="2798" w:right="554" w:hanging="1950"/>
        <w:jc w:val="left"/>
      </w:pPr>
      <w:r>
        <w:rPr>
          <w:b/>
        </w:rPr>
        <w:t>Figure 1</w:t>
      </w:r>
      <w:r>
        <w:rPr/>
        <w:t>.</w:t>
      </w:r>
      <w:r>
        <w:rPr>
          <w:spacing w:val="-3"/>
        </w:rPr>
        <w:t> </w:t>
      </w:r>
      <w:r>
        <w:rPr/>
        <w:t>Classification of</w:t>
      </w:r>
      <w:r>
        <w:rPr>
          <w:spacing w:val="-3"/>
        </w:rPr>
        <w:t> </w:t>
      </w:r>
      <w:r>
        <w:rPr/>
        <w:t>LOB</w:t>
      </w:r>
      <w:r>
        <w:rPr>
          <w:spacing w:val="-6"/>
        </w:rPr>
        <w:t> </w:t>
      </w:r>
      <w:r>
        <w:rPr/>
        <w:t>rules,</w:t>
      </w:r>
      <w:r>
        <w:rPr>
          <w:spacing w:val="-3"/>
        </w:rPr>
        <w:t> </w:t>
      </w:r>
      <w:r>
        <w:rPr/>
        <w:t>signed</w:t>
      </w:r>
      <w:r>
        <w:rPr>
          <w:spacing w:val="-6"/>
        </w:rPr>
        <w:t> </w:t>
      </w:r>
      <w:r>
        <w:rPr/>
        <w:t>by</w:t>
      </w:r>
      <w:r>
        <w:rPr>
          <w:spacing w:val="-11"/>
        </w:rPr>
        <w:t> </w:t>
      </w:r>
      <w:r>
        <w:rPr/>
        <w:t>the</w:t>
      </w:r>
      <w:r>
        <w:rPr>
          <w:spacing w:val="-4"/>
        </w:rPr>
        <w:t> </w:t>
      </w:r>
      <w:r>
        <w:rPr/>
        <w:t>Russian</w:t>
      </w:r>
      <w:r>
        <w:rPr>
          <w:spacing w:val="-1"/>
        </w:rPr>
        <w:t> </w:t>
      </w:r>
      <w:r>
        <w:rPr/>
        <w:t>Federation</w:t>
      </w:r>
      <w:r>
        <w:rPr>
          <w:spacing w:val="-1"/>
        </w:rPr>
        <w:t> </w:t>
      </w:r>
      <w:r>
        <w:rPr/>
        <w:t>with</w:t>
      </w:r>
      <w:r>
        <w:rPr>
          <w:spacing w:val="-1"/>
        </w:rPr>
        <w:t> </w:t>
      </w:r>
      <w:r>
        <w:rPr/>
        <w:t>the</w:t>
      </w:r>
      <w:r>
        <w:rPr>
          <w:spacing w:val="-4"/>
        </w:rPr>
        <w:t> </w:t>
      </w:r>
      <w:r>
        <w:rPr/>
        <w:t>other countries that are included into DTAA at present</w:t>
      </w:r>
    </w:p>
    <w:p>
      <w:pPr>
        <w:pStyle w:val="BodyText"/>
        <w:jc w:val="left"/>
      </w:pPr>
    </w:p>
    <w:p>
      <w:pPr>
        <w:pStyle w:val="BodyText"/>
        <w:spacing w:before="127"/>
        <w:jc w:val="left"/>
      </w:pPr>
    </w:p>
    <w:p>
      <w:pPr>
        <w:pStyle w:val="BodyText"/>
        <w:spacing w:line="360" w:lineRule="auto"/>
        <w:ind w:left="23" w:right="652" w:firstLine="710"/>
      </w:pPr>
      <w:r>
        <w:rPr/>
        <w:t>Herewith, some DTAA includes not only the grounds for applying the LOB rules but also exceptions to these rules (i.e. explicit grounds for granting taxpayers the right to apply the DTAA provisions). In</w:t>
      </w:r>
      <w:r>
        <w:rPr>
          <w:spacing w:val="34"/>
        </w:rPr>
        <w:t> </w:t>
      </w:r>
      <w:r>
        <w:rPr/>
        <w:t>some cases, the right for the benefits usage, provided by DTAA, may be</w:t>
      </w:r>
      <w:r>
        <w:rPr>
          <w:spacing w:val="33"/>
        </w:rPr>
        <w:t> </w:t>
      </w:r>
      <w:r>
        <w:rPr/>
        <w:t>provided even when the taxpayer</w:t>
      </w:r>
      <w:r>
        <w:rPr>
          <w:spacing w:val="19"/>
        </w:rPr>
        <w:t> </w:t>
      </w:r>
      <w:r>
        <w:rPr/>
        <w:t>does not</w:t>
      </w:r>
      <w:r>
        <w:rPr>
          <w:spacing w:val="16"/>
        </w:rPr>
        <w:t> </w:t>
      </w:r>
      <w:r>
        <w:rPr/>
        <w:t>formally pass basic tests that LOB rules contain and, consequently,</w:t>
      </w:r>
      <w:r>
        <w:rPr>
          <w:spacing w:val="16"/>
        </w:rPr>
        <w:t> </w:t>
      </w:r>
      <w:r>
        <w:rPr/>
        <w:t>he cannot</w:t>
      </w:r>
      <w:r>
        <w:rPr>
          <w:spacing w:val="40"/>
        </w:rPr>
        <w:t> </w:t>
      </w:r>
      <w:r>
        <w:rPr/>
        <w:t>be</w:t>
      </w:r>
      <w:r>
        <w:rPr>
          <w:spacing w:val="-2"/>
        </w:rPr>
        <w:t> </w:t>
      </w:r>
      <w:r>
        <w:rPr/>
        <w:t>qualified for DTAA use</w:t>
      </w:r>
      <w:r>
        <w:rPr>
          <w:spacing w:val="-2"/>
        </w:rPr>
        <w:t> </w:t>
      </w:r>
      <w:r>
        <w:rPr/>
        <w:t>on the</w:t>
      </w:r>
      <w:r>
        <w:rPr>
          <w:spacing w:val="-2"/>
        </w:rPr>
        <w:t> </w:t>
      </w:r>
      <w:r>
        <w:rPr/>
        <w:t>general basis. It is done</w:t>
      </w:r>
      <w:r>
        <w:rPr>
          <w:spacing w:val="-2"/>
        </w:rPr>
        <w:t> </w:t>
      </w:r>
      <w:r>
        <w:rPr/>
        <w:t>to</w:t>
      </w:r>
      <w:r>
        <w:rPr>
          <w:spacing w:val="-3"/>
        </w:rPr>
        <w:t> </w:t>
      </w:r>
      <w:r>
        <w:rPr/>
        <w:t>compensate</w:t>
      </w:r>
      <w:r>
        <w:rPr>
          <w:spacing w:val="-1"/>
        </w:rPr>
        <w:t> </w:t>
      </w:r>
      <w:r>
        <w:rPr/>
        <w:t>a certain formality</w:t>
      </w:r>
      <w:r>
        <w:rPr>
          <w:spacing w:val="-2"/>
        </w:rPr>
        <w:t> </w:t>
      </w:r>
      <w:r>
        <w:rPr/>
        <w:t>of</w:t>
      </w:r>
      <w:r>
        <w:rPr>
          <w:spacing w:val="-3"/>
        </w:rPr>
        <w:t> </w:t>
      </w:r>
      <w:r>
        <w:rPr/>
        <w:t>applying the LOB rules and to give them some degree of flexibility.</w:t>
      </w:r>
    </w:p>
    <w:p>
      <w:pPr>
        <w:pStyle w:val="BodyText"/>
        <w:spacing w:before="120"/>
        <w:ind w:left="734"/>
      </w:pPr>
      <w:r>
        <w:rPr/>
        <w:t>The</w:t>
      </w:r>
      <w:r>
        <w:rPr>
          <w:spacing w:val="-8"/>
        </w:rPr>
        <w:t> </w:t>
      </w:r>
      <w:r>
        <w:rPr/>
        <w:t>following</w:t>
      </w:r>
      <w:r>
        <w:rPr>
          <w:spacing w:val="-8"/>
        </w:rPr>
        <w:t> </w:t>
      </w:r>
      <w:r>
        <w:rPr/>
        <w:t>grounds</w:t>
      </w:r>
      <w:r>
        <w:rPr>
          <w:spacing w:val="-9"/>
        </w:rPr>
        <w:t> </w:t>
      </w:r>
      <w:r>
        <w:rPr/>
        <w:t>for</w:t>
      </w:r>
      <w:r>
        <w:rPr>
          <w:spacing w:val="-1"/>
        </w:rPr>
        <w:t> </w:t>
      </w:r>
      <w:r>
        <w:rPr/>
        <w:t>not</w:t>
      </w:r>
      <w:r>
        <w:rPr>
          <w:spacing w:val="-6"/>
        </w:rPr>
        <w:t> </w:t>
      </w:r>
      <w:r>
        <w:rPr/>
        <w:t>applying</w:t>
      </w:r>
      <w:r>
        <w:rPr>
          <w:spacing w:val="-7"/>
        </w:rPr>
        <w:t> </w:t>
      </w:r>
      <w:r>
        <w:rPr/>
        <w:t>the</w:t>
      </w:r>
      <w:r>
        <w:rPr>
          <w:spacing w:val="-8"/>
        </w:rPr>
        <w:t> </w:t>
      </w:r>
      <w:r>
        <w:rPr/>
        <w:t>LOB</w:t>
      </w:r>
      <w:r>
        <w:rPr>
          <w:spacing w:val="-7"/>
        </w:rPr>
        <w:t> </w:t>
      </w:r>
      <w:r>
        <w:rPr/>
        <w:t>rules</w:t>
      </w:r>
      <w:r>
        <w:rPr>
          <w:spacing w:val="-4"/>
        </w:rPr>
        <w:t> </w:t>
      </w:r>
      <w:r>
        <w:rPr/>
        <w:t>can</w:t>
      </w:r>
      <w:r>
        <w:rPr>
          <w:spacing w:val="2"/>
        </w:rPr>
        <w:t> </w:t>
      </w:r>
      <w:r>
        <w:rPr/>
        <w:t>be</w:t>
      </w:r>
      <w:r>
        <w:rPr>
          <w:spacing w:val="-6"/>
        </w:rPr>
        <w:t> </w:t>
      </w:r>
      <w:r>
        <w:rPr/>
        <w:t>found</w:t>
      </w:r>
      <w:r>
        <w:rPr>
          <w:spacing w:val="-8"/>
        </w:rPr>
        <w:t> </w:t>
      </w:r>
      <w:r>
        <w:rPr/>
        <w:t>in</w:t>
      </w:r>
      <w:r>
        <w:rPr>
          <w:spacing w:val="-3"/>
        </w:rPr>
        <w:t> </w:t>
      </w:r>
      <w:r>
        <w:rPr/>
        <w:t>existing</w:t>
      </w:r>
      <w:r>
        <w:rPr>
          <w:spacing w:val="-3"/>
        </w:rPr>
        <w:t> </w:t>
      </w:r>
      <w:r>
        <w:rPr/>
        <w:t>Russian </w:t>
      </w:r>
      <w:r>
        <w:rPr>
          <w:spacing w:val="-2"/>
        </w:rPr>
        <w:t>DTAA:</w:t>
      </w:r>
    </w:p>
    <w:p>
      <w:pPr>
        <w:pStyle w:val="BodyText"/>
        <w:spacing w:before="5"/>
        <w:jc w:val="left"/>
      </w:pPr>
    </w:p>
    <w:p>
      <w:pPr>
        <w:pStyle w:val="ListParagraph"/>
        <w:numPr>
          <w:ilvl w:val="0"/>
          <w:numId w:val="4"/>
        </w:numPr>
        <w:tabs>
          <w:tab w:pos="2145" w:val="left" w:leader="none"/>
        </w:tabs>
        <w:spacing w:line="240" w:lineRule="auto" w:before="0" w:after="0"/>
        <w:ind w:left="2145" w:right="0" w:hanging="701"/>
        <w:jc w:val="left"/>
        <w:rPr>
          <w:sz w:val="20"/>
        </w:rPr>
      </w:pPr>
      <w:r>
        <w:rPr>
          <w:sz w:val="20"/>
        </w:rPr>
        <w:t>certain</w:t>
      </w:r>
      <w:r>
        <w:rPr>
          <w:spacing w:val="-5"/>
          <w:sz w:val="20"/>
        </w:rPr>
        <w:t> </w:t>
      </w:r>
      <w:r>
        <w:rPr>
          <w:sz w:val="20"/>
        </w:rPr>
        <w:t>composition</w:t>
      </w:r>
      <w:r>
        <w:rPr>
          <w:spacing w:val="-8"/>
          <w:sz w:val="20"/>
        </w:rPr>
        <w:t> </w:t>
      </w:r>
      <w:r>
        <w:rPr>
          <w:sz w:val="20"/>
        </w:rPr>
        <w:t>of</w:t>
      </w:r>
      <w:r>
        <w:rPr>
          <w:spacing w:val="-12"/>
          <w:sz w:val="20"/>
        </w:rPr>
        <w:t> </w:t>
      </w:r>
      <w:r>
        <w:rPr>
          <w:sz w:val="20"/>
        </w:rPr>
        <w:t>taxpayer</w:t>
      </w:r>
      <w:r>
        <w:rPr>
          <w:spacing w:val="-3"/>
          <w:sz w:val="20"/>
        </w:rPr>
        <w:t> </w:t>
      </w:r>
      <w:r>
        <w:rPr>
          <w:sz w:val="20"/>
        </w:rPr>
        <w:t>participants</w:t>
      </w:r>
      <w:r>
        <w:rPr>
          <w:spacing w:val="-4"/>
          <w:sz w:val="20"/>
        </w:rPr>
        <w:t> </w:t>
      </w:r>
      <w:r>
        <w:rPr>
          <w:sz w:val="20"/>
        </w:rPr>
        <w:t>(DTAA</w:t>
      </w:r>
      <w:r>
        <w:rPr>
          <w:spacing w:val="-8"/>
          <w:sz w:val="20"/>
        </w:rPr>
        <w:t> </w:t>
      </w:r>
      <w:r>
        <w:rPr>
          <w:sz w:val="20"/>
        </w:rPr>
        <w:t>with</w:t>
      </w:r>
      <w:r>
        <w:rPr>
          <w:spacing w:val="-8"/>
          <w:sz w:val="20"/>
        </w:rPr>
        <w:t> </w:t>
      </w:r>
      <w:r>
        <w:rPr>
          <w:sz w:val="20"/>
        </w:rPr>
        <w:t>the</w:t>
      </w:r>
      <w:r>
        <w:rPr>
          <w:spacing w:val="-12"/>
          <w:sz w:val="20"/>
        </w:rPr>
        <w:t> </w:t>
      </w:r>
      <w:r>
        <w:rPr>
          <w:spacing w:val="-2"/>
          <w:sz w:val="20"/>
        </w:rPr>
        <w:t>USA);</w:t>
      </w:r>
    </w:p>
    <w:p>
      <w:pPr>
        <w:pStyle w:val="ListParagraph"/>
        <w:numPr>
          <w:ilvl w:val="0"/>
          <w:numId w:val="4"/>
        </w:numPr>
        <w:tabs>
          <w:tab w:pos="2145" w:val="left" w:leader="none"/>
        </w:tabs>
        <w:spacing w:line="240" w:lineRule="auto" w:before="116" w:after="0"/>
        <w:ind w:left="2145" w:right="0" w:hanging="701"/>
        <w:jc w:val="left"/>
        <w:rPr>
          <w:sz w:val="20"/>
        </w:rPr>
      </w:pPr>
      <w:r>
        <w:rPr>
          <w:sz w:val="20"/>
        </w:rPr>
        <w:t>certain procedure</w:t>
      </w:r>
      <w:r>
        <w:rPr>
          <w:spacing w:val="-6"/>
          <w:sz w:val="20"/>
        </w:rPr>
        <w:t> </w:t>
      </w:r>
      <w:r>
        <w:rPr>
          <w:sz w:val="20"/>
        </w:rPr>
        <w:t>of</w:t>
      </w:r>
      <w:r>
        <w:rPr>
          <w:spacing w:val="-8"/>
          <w:sz w:val="20"/>
        </w:rPr>
        <w:t> </w:t>
      </w:r>
      <w:r>
        <w:rPr>
          <w:sz w:val="20"/>
        </w:rPr>
        <w:t>the</w:t>
      </w:r>
      <w:r>
        <w:rPr>
          <w:spacing w:val="-6"/>
          <w:sz w:val="20"/>
        </w:rPr>
        <w:t> </w:t>
      </w:r>
      <w:r>
        <w:rPr>
          <w:sz w:val="20"/>
        </w:rPr>
        <w:t>taxpayer’s</w:t>
      </w:r>
      <w:r>
        <w:rPr>
          <w:spacing w:val="-6"/>
          <w:sz w:val="20"/>
        </w:rPr>
        <w:t> </w:t>
      </w:r>
      <w:r>
        <w:rPr>
          <w:sz w:val="20"/>
        </w:rPr>
        <w:t>income</w:t>
      </w:r>
      <w:r>
        <w:rPr>
          <w:spacing w:val="-6"/>
          <w:sz w:val="20"/>
        </w:rPr>
        <w:t> </w:t>
      </w:r>
      <w:r>
        <w:rPr>
          <w:sz w:val="20"/>
        </w:rPr>
        <w:t>usage</w:t>
      </w:r>
      <w:r>
        <w:rPr>
          <w:spacing w:val="-3"/>
          <w:sz w:val="20"/>
        </w:rPr>
        <w:t> </w:t>
      </w:r>
      <w:r>
        <w:rPr>
          <w:sz w:val="20"/>
        </w:rPr>
        <w:t>(DTAA</w:t>
      </w:r>
      <w:r>
        <w:rPr>
          <w:spacing w:val="-9"/>
          <w:sz w:val="20"/>
        </w:rPr>
        <w:t> </w:t>
      </w:r>
      <w:r>
        <w:rPr>
          <w:sz w:val="20"/>
        </w:rPr>
        <w:t>with</w:t>
      </w:r>
      <w:r>
        <w:rPr>
          <w:spacing w:val="-3"/>
          <w:sz w:val="20"/>
        </w:rPr>
        <w:t> </w:t>
      </w:r>
      <w:r>
        <w:rPr>
          <w:sz w:val="20"/>
        </w:rPr>
        <w:t>the</w:t>
      </w:r>
      <w:r>
        <w:rPr>
          <w:spacing w:val="-6"/>
          <w:sz w:val="20"/>
        </w:rPr>
        <w:t> </w:t>
      </w:r>
      <w:r>
        <w:rPr>
          <w:spacing w:val="-2"/>
          <w:sz w:val="20"/>
        </w:rPr>
        <w:t>USA);</w:t>
      </w:r>
    </w:p>
    <w:p>
      <w:pPr>
        <w:pStyle w:val="ListParagraph"/>
        <w:numPr>
          <w:ilvl w:val="0"/>
          <w:numId w:val="4"/>
        </w:numPr>
        <w:tabs>
          <w:tab w:pos="2145" w:val="left" w:leader="none"/>
        </w:tabs>
        <w:spacing w:line="352" w:lineRule="auto" w:before="110" w:after="0"/>
        <w:ind w:left="739" w:right="661" w:firstLine="705"/>
        <w:jc w:val="left"/>
        <w:rPr>
          <w:sz w:val="20"/>
        </w:rPr>
      </w:pPr>
      <w:r>
        <w:rPr>
          <w:sz w:val="20"/>
        </w:rPr>
        <w:t>certain</w:t>
      </w:r>
      <w:r>
        <w:rPr>
          <w:spacing w:val="73"/>
          <w:sz w:val="20"/>
        </w:rPr>
        <w:t> </w:t>
      </w:r>
      <w:r>
        <w:rPr>
          <w:sz w:val="20"/>
        </w:rPr>
        <w:t>characteristics</w:t>
      </w:r>
      <w:r>
        <w:rPr>
          <w:spacing w:val="67"/>
          <w:sz w:val="20"/>
        </w:rPr>
        <w:t> </w:t>
      </w:r>
      <w:r>
        <w:rPr>
          <w:sz w:val="20"/>
        </w:rPr>
        <w:t>of</w:t>
      </w:r>
      <w:r>
        <w:rPr>
          <w:spacing w:val="40"/>
          <w:sz w:val="20"/>
        </w:rPr>
        <w:t> </w:t>
      </w:r>
      <w:r>
        <w:rPr>
          <w:sz w:val="20"/>
        </w:rPr>
        <w:t>the</w:t>
      </w:r>
      <w:r>
        <w:rPr>
          <w:spacing w:val="40"/>
          <w:sz w:val="20"/>
        </w:rPr>
        <w:t> </w:t>
      </w:r>
      <w:r>
        <w:rPr>
          <w:sz w:val="20"/>
        </w:rPr>
        <w:t>taxpayer</w:t>
      </w:r>
      <w:r>
        <w:rPr>
          <w:spacing w:val="78"/>
          <w:sz w:val="20"/>
        </w:rPr>
        <w:t> </w:t>
      </w:r>
      <w:r>
        <w:rPr>
          <w:sz w:val="20"/>
        </w:rPr>
        <w:t>(as</w:t>
      </w:r>
      <w:r>
        <w:rPr>
          <w:spacing w:val="67"/>
          <w:sz w:val="20"/>
        </w:rPr>
        <w:t> </w:t>
      </w:r>
      <w:r>
        <w:rPr>
          <w:sz w:val="20"/>
        </w:rPr>
        <w:t>a</w:t>
      </w:r>
      <w:r>
        <w:rPr>
          <w:spacing w:val="40"/>
          <w:sz w:val="20"/>
        </w:rPr>
        <w:t> </w:t>
      </w:r>
      <w:r>
        <w:rPr>
          <w:sz w:val="20"/>
        </w:rPr>
        <w:t>rule,</w:t>
      </w:r>
      <w:r>
        <w:rPr>
          <w:spacing w:val="72"/>
          <w:sz w:val="20"/>
        </w:rPr>
        <w:t> </w:t>
      </w:r>
      <w:r>
        <w:rPr>
          <w:sz w:val="20"/>
        </w:rPr>
        <w:t>vigorous</w:t>
      </w:r>
      <w:r>
        <w:rPr>
          <w:spacing w:val="67"/>
          <w:sz w:val="20"/>
        </w:rPr>
        <w:t> </w:t>
      </w:r>
      <w:r>
        <w:rPr>
          <w:sz w:val="20"/>
        </w:rPr>
        <w:t>activity</w:t>
      </w:r>
      <w:r>
        <w:rPr>
          <w:spacing w:val="40"/>
          <w:sz w:val="20"/>
        </w:rPr>
        <w:t> </w:t>
      </w:r>
      <w:r>
        <w:rPr>
          <w:sz w:val="20"/>
        </w:rPr>
        <w:t>by</w:t>
      </w:r>
      <w:r>
        <w:rPr>
          <w:spacing w:val="40"/>
          <w:sz w:val="20"/>
        </w:rPr>
        <w:t> </w:t>
      </w:r>
      <w:r>
        <w:rPr>
          <w:sz w:val="20"/>
        </w:rPr>
        <w:t>the taxpayer) (DTAA with the Republic of Singapore);</w:t>
      </w:r>
    </w:p>
    <w:p>
      <w:pPr>
        <w:pStyle w:val="ListParagraph"/>
        <w:numPr>
          <w:ilvl w:val="0"/>
          <w:numId w:val="4"/>
        </w:numPr>
        <w:tabs>
          <w:tab w:pos="2145" w:val="left" w:leader="none"/>
        </w:tabs>
        <w:spacing w:line="352" w:lineRule="auto" w:before="7" w:after="0"/>
        <w:ind w:left="739" w:right="659" w:firstLine="705"/>
        <w:jc w:val="left"/>
        <w:rPr>
          <w:sz w:val="20"/>
        </w:rPr>
      </w:pPr>
      <w:r>
        <w:rPr>
          <w:sz w:val="20"/>
        </w:rPr>
        <w:t>a</w:t>
      </w:r>
      <w:r>
        <w:rPr>
          <w:spacing w:val="40"/>
          <w:sz w:val="20"/>
        </w:rPr>
        <w:t> </w:t>
      </w:r>
      <w:r>
        <w:rPr>
          <w:sz w:val="20"/>
        </w:rPr>
        <w:t>special</w:t>
      </w:r>
      <w:r>
        <w:rPr>
          <w:spacing w:val="40"/>
          <w:sz w:val="20"/>
        </w:rPr>
        <w:t> </w:t>
      </w:r>
      <w:r>
        <w:rPr>
          <w:sz w:val="20"/>
        </w:rPr>
        <w:t>status</w:t>
      </w:r>
      <w:r>
        <w:rPr>
          <w:spacing w:val="40"/>
          <w:sz w:val="20"/>
        </w:rPr>
        <w:t> </w:t>
      </w:r>
      <w:r>
        <w:rPr>
          <w:sz w:val="20"/>
        </w:rPr>
        <w:t>of</w:t>
      </w:r>
      <w:r>
        <w:rPr>
          <w:spacing w:val="39"/>
          <w:sz w:val="20"/>
        </w:rPr>
        <w:t> </w:t>
      </w:r>
      <w:r>
        <w:rPr>
          <w:sz w:val="20"/>
        </w:rPr>
        <w:t>the</w:t>
      </w:r>
      <w:r>
        <w:rPr>
          <w:spacing w:val="40"/>
          <w:sz w:val="20"/>
        </w:rPr>
        <w:t> </w:t>
      </w:r>
      <w:r>
        <w:rPr>
          <w:sz w:val="20"/>
        </w:rPr>
        <w:t>subject</w:t>
      </w:r>
      <w:r>
        <w:rPr>
          <w:spacing w:val="40"/>
          <w:sz w:val="20"/>
        </w:rPr>
        <w:t> </w:t>
      </w:r>
      <w:r>
        <w:rPr>
          <w:sz w:val="20"/>
        </w:rPr>
        <w:t>(taxpayer)</w:t>
      </w:r>
      <w:r>
        <w:rPr>
          <w:spacing w:val="40"/>
          <w:sz w:val="20"/>
        </w:rPr>
        <w:t> </w:t>
      </w:r>
      <w:r>
        <w:rPr>
          <w:sz w:val="20"/>
        </w:rPr>
        <w:t>-</w:t>
      </w:r>
      <w:r>
        <w:rPr>
          <w:spacing w:val="39"/>
          <w:sz w:val="20"/>
        </w:rPr>
        <w:t> </w:t>
      </w:r>
      <w:r>
        <w:rPr>
          <w:sz w:val="20"/>
        </w:rPr>
        <w:t>recipient</w:t>
      </w:r>
      <w:r>
        <w:rPr>
          <w:spacing w:val="40"/>
          <w:sz w:val="20"/>
        </w:rPr>
        <w:t> </w:t>
      </w:r>
      <w:r>
        <w:rPr>
          <w:sz w:val="20"/>
        </w:rPr>
        <w:t>of</w:t>
      </w:r>
      <w:r>
        <w:rPr>
          <w:spacing w:val="39"/>
          <w:sz w:val="20"/>
        </w:rPr>
        <w:t> </w:t>
      </w:r>
      <w:r>
        <w:rPr>
          <w:sz w:val="20"/>
        </w:rPr>
        <w:t>income</w:t>
      </w:r>
      <w:r>
        <w:rPr>
          <w:spacing w:val="40"/>
          <w:sz w:val="20"/>
        </w:rPr>
        <w:t> </w:t>
      </w:r>
      <w:r>
        <w:rPr>
          <w:sz w:val="20"/>
        </w:rPr>
        <w:t>(government, public commercial or nonprofit organization) (DTAA with the Republic of Singapore);</w:t>
      </w:r>
    </w:p>
    <w:p>
      <w:pPr>
        <w:pStyle w:val="ListParagraph"/>
        <w:spacing w:after="0" w:line="352" w:lineRule="auto"/>
        <w:jc w:val="left"/>
        <w:rPr>
          <w:sz w:val="20"/>
        </w:rPr>
        <w:sectPr>
          <w:pgSz w:w="11910" w:h="16840"/>
          <w:pgMar w:header="709" w:footer="695" w:top="1320" w:bottom="880" w:left="1417" w:right="1133"/>
        </w:sectPr>
      </w:pPr>
    </w:p>
    <w:p>
      <w:pPr>
        <w:pStyle w:val="ListParagraph"/>
        <w:numPr>
          <w:ilvl w:val="1"/>
          <w:numId w:val="4"/>
        </w:numPr>
        <w:tabs>
          <w:tab w:pos="2501" w:val="left" w:leader="none"/>
        </w:tabs>
        <w:spacing w:line="357" w:lineRule="auto" w:before="91" w:after="0"/>
        <w:ind w:left="1094" w:right="299" w:firstLine="706"/>
        <w:jc w:val="both"/>
        <w:rPr>
          <w:sz w:val="20"/>
        </w:rPr>
      </w:pPr>
      <w:r>
        <w:rPr>
          <w:sz w:val="20"/>
        </w:rPr>
        <w:t>availability of special permission from the competent authority (DTAA with the USA) or lack of agreement by the competent authorities regarding non-application of DTAA to a certain taxpayer following a mutually agreed procedure (DTAA with the Republic of Lithuania).</w:t>
      </w:r>
    </w:p>
    <w:p>
      <w:pPr>
        <w:pStyle w:val="BodyText"/>
        <w:spacing w:line="360" w:lineRule="auto" w:before="122"/>
        <w:ind w:left="378" w:right="301" w:firstLine="710"/>
      </w:pPr>
      <w:r>
        <w:rPr/>
        <w:t>Such variability</w:t>
      </w:r>
      <w:r>
        <w:rPr>
          <w:spacing w:val="-4"/>
        </w:rPr>
        <w:t> </w:t>
      </w:r>
      <w:r>
        <w:rPr/>
        <w:t>in the content of the rules of simplified limitation of benefits creates the problems for tax authorities and courts in the practice of their application and coordination. The rule of simplified limitation of benefits is included in one or another form in 14 DTAA signed by Russia with the other countries. Nevertheless, these rules are used rarely in the Russian courts.</w:t>
      </w:r>
    </w:p>
    <w:p>
      <w:pPr>
        <w:pStyle w:val="BodyText"/>
        <w:spacing w:line="360" w:lineRule="auto" w:before="117"/>
        <w:ind w:left="378" w:right="299" w:firstLine="710"/>
      </w:pPr>
      <w:r>
        <w:rPr/>
        <w:t>That is why it is hard to formulate and substantiate conclusions about domestic experience in implementing the LOB concept currently. The further practice should take shape by</w:t>
      </w:r>
      <w:r>
        <w:rPr>
          <w:spacing w:val="-2"/>
        </w:rPr>
        <w:t> </w:t>
      </w:r>
      <w:r>
        <w:rPr/>
        <w:t>prioritizing LOB rules that have been formulated in the Multilateral Convention. Considering the foregoing, the author recommends to carry out diagnostics of the rules of simplified limitation of benefits in terms of their compliance with the requirements MLI currently. It is advisable to start taking actions today to adapt to amendments, including preparation of business case justification regarding the payment of passive income</w:t>
      </w:r>
      <w:r>
        <w:rPr>
          <w:spacing w:val="40"/>
        </w:rPr>
        <w:t> </w:t>
      </w:r>
      <w:r>
        <w:rPr/>
        <w:t>in foreign jurisdictions.</w:t>
      </w:r>
    </w:p>
    <w:p>
      <w:pPr>
        <w:pStyle w:val="Heading3"/>
        <w:numPr>
          <w:ilvl w:val="1"/>
          <w:numId w:val="3"/>
        </w:numPr>
        <w:tabs>
          <w:tab w:pos="1794" w:val="left" w:leader="none"/>
        </w:tabs>
        <w:spacing w:line="240" w:lineRule="auto" w:before="126" w:after="0"/>
        <w:ind w:left="1794" w:right="0" w:hanging="705"/>
        <w:jc w:val="both"/>
      </w:pPr>
      <w:r>
        <w:rPr/>
        <w:t>Permanent</w:t>
      </w:r>
      <w:r>
        <w:rPr>
          <w:spacing w:val="-7"/>
        </w:rPr>
        <w:t> </w:t>
      </w:r>
      <w:r>
        <w:rPr>
          <w:spacing w:val="-2"/>
        </w:rPr>
        <w:t>establishment</w:t>
      </w:r>
    </w:p>
    <w:p>
      <w:pPr>
        <w:pStyle w:val="BodyText"/>
        <w:jc w:val="left"/>
        <w:rPr>
          <w:b/>
        </w:rPr>
      </w:pPr>
    </w:p>
    <w:p>
      <w:pPr>
        <w:pStyle w:val="BodyText"/>
        <w:spacing w:line="360" w:lineRule="auto" w:before="1"/>
        <w:ind w:left="378" w:right="296" w:firstLine="710"/>
      </w:pPr>
      <w:r>
        <w:rPr/>
        <w:t>The modern instruments of the world tax system allow to provide control under the placement of representative offices of transnational corporations that use inconsistencies in the tax systems of some</w:t>
      </w:r>
      <w:r>
        <w:rPr>
          <w:spacing w:val="40"/>
        </w:rPr>
        <w:t> </w:t>
      </w:r>
      <w:r>
        <w:rPr/>
        <w:t>states. These inconsistencies allow companies to</w:t>
      </w:r>
      <w:r>
        <w:rPr>
          <w:spacing w:val="-1"/>
        </w:rPr>
        <w:t> </w:t>
      </w:r>
      <w:r>
        <w:rPr/>
        <w:t>make transactions deprived of economic content, pursuing only the goal of erosion of the tax base.</w:t>
      </w:r>
    </w:p>
    <w:p>
      <w:pPr>
        <w:pStyle w:val="BodyText"/>
        <w:spacing w:line="360" w:lineRule="auto" w:before="118"/>
        <w:ind w:left="378" w:right="297" w:firstLine="710"/>
      </w:pPr>
      <w:r>
        <w:rPr/>
        <w:t>However, the</w:t>
      </w:r>
      <w:r>
        <w:rPr>
          <w:spacing w:val="-2"/>
        </w:rPr>
        <w:t> </w:t>
      </w:r>
      <w:r>
        <w:rPr/>
        <w:t>new types of business appear in the current economic conditions that are difficult to carry out tax control against them (Nevius, 2016).</w:t>
      </w:r>
    </w:p>
    <w:p>
      <w:pPr>
        <w:pStyle w:val="BodyText"/>
        <w:spacing w:line="360" w:lineRule="auto" w:before="121"/>
        <w:ind w:left="378" w:right="296" w:firstLine="710"/>
      </w:pPr>
      <w:r>
        <w:rPr/>
        <w:t>The question of permanent establishment for the companies has been discussed for a long time in the foreign and domestic literature. It relates to the companies that are engaged in digital business (Koren, 2010; Arginelli </w:t>
      </w:r>
      <w:r>
        <w:rPr>
          <w:i/>
        </w:rPr>
        <w:t>et al</w:t>
      </w:r>
      <w:r>
        <w:rPr/>
        <w:t>., 2019). The possibilities of digital economic allow avoiding artificially permanent establishment status and supporting a sales form that does not lead to its formation by the usage of limited service brokers and distributors and using the separation process to circumvent time constraints and supporting such activity status as auxiliary or preparatory.</w:t>
      </w:r>
    </w:p>
    <w:p>
      <w:pPr>
        <w:pStyle w:val="BodyText"/>
        <w:spacing w:line="360" w:lineRule="auto" w:before="120"/>
        <w:ind w:left="378" w:right="298" w:firstLine="710"/>
      </w:pPr>
      <w:r>
        <w:rPr/>
        <w:t>OECD position about the permanent establishment of digital corporations is the following: a permanent establishment should be in the state, where not only the website is located but also specialized equipment, dedicated to serving digital business (Petechel and Rekeda, 2017). The criterion introduces novelty, supplementing the three main criteria for determining the</w:t>
      </w:r>
      <w:r>
        <w:rPr>
          <w:spacing w:val="-2"/>
        </w:rPr>
        <w:t> </w:t>
      </w:r>
      <w:r>
        <w:rPr/>
        <w:t>residency of the company. Besides it, in 2018 OECD Interim Report three main factors were formulated that should be taken into consideration while determining a digital permanent establishment:</w:t>
      </w:r>
    </w:p>
    <w:p>
      <w:pPr>
        <w:pStyle w:val="ListParagraph"/>
        <w:numPr>
          <w:ilvl w:val="0"/>
          <w:numId w:val="5"/>
        </w:numPr>
        <w:tabs>
          <w:tab w:pos="1222" w:val="left" w:leader="none"/>
        </w:tabs>
        <w:spacing w:line="360" w:lineRule="auto" w:before="124" w:after="0"/>
        <w:ind w:left="378" w:right="298" w:firstLine="710"/>
        <w:jc w:val="both"/>
        <w:rPr>
          <w:sz w:val="20"/>
        </w:rPr>
      </w:pPr>
      <w:r>
        <w:rPr>
          <w:sz w:val="20"/>
        </w:rPr>
        <w:t>The profit factor in the territory of a particular jurisdiction in absolute terms and relative to the total income of an enterprise;</w:t>
      </w:r>
    </w:p>
    <w:p>
      <w:pPr>
        <w:pStyle w:val="ListParagraph"/>
        <w:numPr>
          <w:ilvl w:val="0"/>
          <w:numId w:val="5"/>
        </w:numPr>
        <w:tabs>
          <w:tab w:pos="1208" w:val="left" w:leader="none"/>
        </w:tabs>
        <w:spacing w:line="240" w:lineRule="auto" w:before="117" w:after="0"/>
        <w:ind w:left="1208" w:right="0" w:hanging="119"/>
        <w:jc w:val="both"/>
        <w:rPr>
          <w:sz w:val="20"/>
        </w:rPr>
      </w:pPr>
      <w:r>
        <w:rPr>
          <w:sz w:val="20"/>
        </w:rPr>
        <w:t>The</w:t>
      </w:r>
      <w:r>
        <w:rPr>
          <w:spacing w:val="-12"/>
          <w:sz w:val="20"/>
        </w:rPr>
        <w:t> </w:t>
      </w:r>
      <w:r>
        <w:rPr>
          <w:sz w:val="20"/>
        </w:rPr>
        <w:t>digital</w:t>
      </w:r>
      <w:r>
        <w:rPr>
          <w:spacing w:val="-7"/>
          <w:sz w:val="20"/>
        </w:rPr>
        <w:t> </w:t>
      </w:r>
      <w:r>
        <w:rPr>
          <w:sz w:val="20"/>
        </w:rPr>
        <w:t>presence</w:t>
      </w:r>
      <w:r>
        <w:rPr>
          <w:spacing w:val="-8"/>
          <w:sz w:val="20"/>
        </w:rPr>
        <w:t> </w:t>
      </w:r>
      <w:r>
        <w:rPr>
          <w:sz w:val="20"/>
        </w:rPr>
        <w:t>factor</w:t>
      </w:r>
      <w:r>
        <w:rPr>
          <w:spacing w:val="-1"/>
          <w:sz w:val="20"/>
        </w:rPr>
        <w:t> </w:t>
      </w:r>
      <w:r>
        <w:rPr>
          <w:sz w:val="20"/>
        </w:rPr>
        <w:t>(for</w:t>
      </w:r>
      <w:r>
        <w:rPr>
          <w:spacing w:val="-1"/>
          <w:sz w:val="20"/>
        </w:rPr>
        <w:t> </w:t>
      </w:r>
      <w:r>
        <w:rPr>
          <w:sz w:val="20"/>
        </w:rPr>
        <w:t>example,</w:t>
      </w:r>
      <w:r>
        <w:rPr>
          <w:spacing w:val="-7"/>
          <w:sz w:val="20"/>
        </w:rPr>
        <w:t> </w:t>
      </w:r>
      <w:r>
        <w:rPr>
          <w:sz w:val="20"/>
        </w:rPr>
        <w:t>a</w:t>
      </w:r>
      <w:r>
        <w:rPr>
          <w:spacing w:val="-8"/>
          <w:sz w:val="20"/>
        </w:rPr>
        <w:t> </w:t>
      </w:r>
      <w:r>
        <w:rPr>
          <w:sz w:val="20"/>
        </w:rPr>
        <w:t>local</w:t>
      </w:r>
      <w:r>
        <w:rPr>
          <w:spacing w:val="-3"/>
          <w:sz w:val="20"/>
        </w:rPr>
        <w:t> </w:t>
      </w:r>
      <w:r>
        <w:rPr>
          <w:sz w:val="20"/>
        </w:rPr>
        <w:t>domain</w:t>
      </w:r>
      <w:r>
        <w:rPr>
          <w:spacing w:val="-10"/>
          <w:sz w:val="20"/>
        </w:rPr>
        <w:t> </w:t>
      </w:r>
      <w:r>
        <w:rPr>
          <w:sz w:val="20"/>
        </w:rPr>
        <w:t>name</w:t>
      </w:r>
      <w:r>
        <w:rPr>
          <w:spacing w:val="-7"/>
          <w:sz w:val="20"/>
        </w:rPr>
        <w:t> </w:t>
      </w:r>
      <w:r>
        <w:rPr>
          <w:sz w:val="20"/>
        </w:rPr>
        <w:t>or</w:t>
      </w:r>
      <w:r>
        <w:rPr>
          <w:spacing w:val="-6"/>
          <w:sz w:val="20"/>
        </w:rPr>
        <w:t> </w:t>
      </w:r>
      <w:r>
        <w:rPr>
          <w:sz w:val="20"/>
        </w:rPr>
        <w:t>a</w:t>
      </w:r>
      <w:r>
        <w:rPr>
          <w:spacing w:val="-7"/>
          <w:sz w:val="20"/>
        </w:rPr>
        <w:t> </w:t>
      </w:r>
      <w:r>
        <w:rPr>
          <w:sz w:val="20"/>
        </w:rPr>
        <w:t>specific</w:t>
      </w:r>
      <w:r>
        <w:rPr>
          <w:spacing w:val="-8"/>
          <w:sz w:val="20"/>
        </w:rPr>
        <w:t> </w:t>
      </w:r>
      <w:r>
        <w:rPr>
          <w:sz w:val="20"/>
        </w:rPr>
        <w:t>payment</w:t>
      </w:r>
      <w:r>
        <w:rPr>
          <w:spacing w:val="-3"/>
          <w:sz w:val="20"/>
        </w:rPr>
        <w:t> </w:t>
      </w:r>
      <w:r>
        <w:rPr>
          <w:spacing w:val="-2"/>
          <w:sz w:val="20"/>
        </w:rPr>
        <w:t>method);</w:t>
      </w:r>
    </w:p>
    <w:p>
      <w:pPr>
        <w:pStyle w:val="ListParagraph"/>
        <w:spacing w:after="0" w:line="240" w:lineRule="auto"/>
        <w:jc w:val="both"/>
        <w:rPr>
          <w:sz w:val="20"/>
        </w:rPr>
        <w:sectPr>
          <w:pgSz w:w="11910" w:h="16840"/>
          <w:pgMar w:header="709" w:footer="695" w:top="1320" w:bottom="880" w:left="1417" w:right="1133"/>
        </w:sectPr>
      </w:pPr>
    </w:p>
    <w:p>
      <w:pPr>
        <w:pStyle w:val="ListParagraph"/>
        <w:numPr>
          <w:ilvl w:val="0"/>
          <w:numId w:val="5"/>
        </w:numPr>
        <w:tabs>
          <w:tab w:pos="881" w:val="left" w:leader="none"/>
        </w:tabs>
        <w:spacing w:line="360" w:lineRule="auto" w:before="91" w:after="0"/>
        <w:ind w:left="23" w:right="656" w:firstLine="710"/>
        <w:jc w:val="both"/>
        <w:rPr>
          <w:sz w:val="20"/>
        </w:rPr>
      </w:pPr>
      <w:r>
        <w:rPr>
          <w:sz w:val="20"/>
        </w:rPr>
        <w:t>The factor of the number of users of resources and platforms, through which entrepreneurial activity is carried out.</w:t>
      </w:r>
    </w:p>
    <w:p>
      <w:pPr>
        <w:pStyle w:val="BodyText"/>
        <w:spacing w:line="360" w:lineRule="auto" w:before="122"/>
        <w:ind w:left="23" w:right="651" w:firstLine="710"/>
      </w:pPr>
      <w:r>
        <w:rPr/>
        <w:t>The</w:t>
      </w:r>
      <w:r>
        <w:rPr>
          <w:spacing w:val="-3"/>
        </w:rPr>
        <w:t> </w:t>
      </w:r>
      <w:r>
        <w:rPr/>
        <w:t>most</w:t>
      </w:r>
      <w:r>
        <w:rPr>
          <w:spacing w:val="-3"/>
        </w:rPr>
        <w:t> </w:t>
      </w:r>
      <w:r>
        <w:rPr/>
        <w:t>actual principle</w:t>
      </w:r>
      <w:r>
        <w:rPr>
          <w:spacing w:val="-1"/>
        </w:rPr>
        <w:t> </w:t>
      </w:r>
      <w:r>
        <w:rPr/>
        <w:t>is</w:t>
      </w:r>
      <w:r>
        <w:rPr>
          <w:spacing w:val="-1"/>
        </w:rPr>
        <w:t> </w:t>
      </w:r>
      <w:r>
        <w:rPr/>
        <w:t>Nexus,</w:t>
      </w:r>
      <w:r>
        <w:rPr>
          <w:spacing w:val="-2"/>
        </w:rPr>
        <w:t> </w:t>
      </w:r>
      <w:r>
        <w:rPr/>
        <w:t>in accordance</w:t>
      </w:r>
      <w:r>
        <w:rPr>
          <w:spacing w:val="-8"/>
        </w:rPr>
        <w:t> </w:t>
      </w:r>
      <w:r>
        <w:rPr/>
        <w:t>to</w:t>
      </w:r>
      <w:r>
        <w:rPr>
          <w:spacing w:val="-5"/>
        </w:rPr>
        <w:t> </w:t>
      </w:r>
      <w:r>
        <w:rPr/>
        <w:t>which the permanent</w:t>
      </w:r>
      <w:r>
        <w:rPr>
          <w:spacing w:val="-2"/>
        </w:rPr>
        <w:t> </w:t>
      </w:r>
      <w:r>
        <w:rPr/>
        <w:t>establishment provisions are used for the digital business on the international level. This term is used in tax law to describe the situation when an enterprise has a “link” or tax presence in a particular tax jurisdiction. Nexus is the connection between a tax jurisdiction such as a state and</w:t>
      </w:r>
      <w:r>
        <w:rPr>
          <w:spacing w:val="-2"/>
        </w:rPr>
        <w:t> </w:t>
      </w:r>
      <w:r>
        <w:rPr/>
        <w:t>an enterprise that must collect or pay</w:t>
      </w:r>
      <w:r>
        <w:rPr>
          <w:spacing w:val="-3"/>
        </w:rPr>
        <w:t> </w:t>
      </w:r>
      <w:r>
        <w:rPr/>
        <w:t>tax.</w:t>
      </w:r>
    </w:p>
    <w:p>
      <w:pPr>
        <w:pStyle w:val="Heading3"/>
        <w:numPr>
          <w:ilvl w:val="1"/>
          <w:numId w:val="3"/>
        </w:numPr>
        <w:tabs>
          <w:tab w:pos="1439" w:val="left" w:leader="none"/>
        </w:tabs>
        <w:spacing w:line="240" w:lineRule="auto" w:before="123" w:after="0"/>
        <w:ind w:left="1439" w:right="0" w:hanging="705"/>
        <w:jc w:val="both"/>
      </w:pPr>
      <w:r>
        <w:rPr/>
        <w:t>International</w:t>
      </w:r>
      <w:r>
        <w:rPr>
          <w:spacing w:val="-10"/>
        </w:rPr>
        <w:t> </w:t>
      </w:r>
      <w:r>
        <w:rPr>
          <w:spacing w:val="-2"/>
        </w:rPr>
        <w:t>arbitration</w:t>
      </w:r>
    </w:p>
    <w:p>
      <w:pPr>
        <w:pStyle w:val="BodyText"/>
        <w:jc w:val="left"/>
        <w:rPr>
          <w:b/>
        </w:rPr>
      </w:pPr>
    </w:p>
    <w:p>
      <w:pPr>
        <w:pStyle w:val="BodyText"/>
        <w:spacing w:line="360" w:lineRule="auto"/>
        <w:ind w:left="23" w:right="650" w:firstLine="710"/>
      </w:pPr>
      <w:r>
        <w:rPr/>
        <w:t>In the courts of the Russian Federation, recent practice deals mainly with tax disputes associated with the</w:t>
      </w:r>
      <w:r>
        <w:rPr>
          <w:spacing w:val="-1"/>
        </w:rPr>
        <w:t> </w:t>
      </w:r>
      <w:r>
        <w:rPr/>
        <w:t>application of</w:t>
      </w:r>
      <w:r>
        <w:rPr>
          <w:spacing w:val="-3"/>
        </w:rPr>
        <w:t> </w:t>
      </w:r>
      <w:r>
        <w:rPr/>
        <w:t>a reduced tax</w:t>
      </w:r>
      <w:r>
        <w:rPr>
          <w:spacing w:val="-3"/>
        </w:rPr>
        <w:t> </w:t>
      </w:r>
      <w:r>
        <w:rPr/>
        <w:t>rate</w:t>
      </w:r>
      <w:r>
        <w:rPr>
          <w:spacing w:val="-1"/>
        </w:rPr>
        <w:t> </w:t>
      </w:r>
      <w:r>
        <w:rPr/>
        <w:t>in</w:t>
      </w:r>
      <w:r>
        <w:rPr>
          <w:spacing w:val="-3"/>
        </w:rPr>
        <w:t> </w:t>
      </w:r>
      <w:r>
        <w:rPr/>
        <w:t>respect of</w:t>
      </w:r>
      <w:r>
        <w:rPr>
          <w:spacing w:val="-3"/>
        </w:rPr>
        <w:t> </w:t>
      </w:r>
      <w:r>
        <w:rPr/>
        <w:t>passive</w:t>
      </w:r>
      <w:r>
        <w:rPr>
          <w:spacing w:val="-1"/>
        </w:rPr>
        <w:t> </w:t>
      </w:r>
      <w:r>
        <w:rPr/>
        <w:t>income</w:t>
      </w:r>
      <w:r>
        <w:rPr>
          <w:spacing w:val="-1"/>
        </w:rPr>
        <w:t> </w:t>
      </w:r>
      <w:r>
        <w:rPr/>
        <w:t>and</w:t>
      </w:r>
      <w:r>
        <w:rPr>
          <w:spacing w:val="-8"/>
        </w:rPr>
        <w:t> </w:t>
      </w:r>
      <w:r>
        <w:rPr/>
        <w:t>retraining of</w:t>
      </w:r>
      <w:r>
        <w:rPr>
          <w:spacing w:val="-3"/>
        </w:rPr>
        <w:t> </w:t>
      </w:r>
      <w:r>
        <w:rPr/>
        <w:t>interest in dividends based on the use of thin capitalization. In official sources, there also can be highlighted several disputes related to the exchange of information and restrictions on benefits in relation to a tax treaty (LOB),</w:t>
      </w:r>
      <w:r>
        <w:rPr>
          <w:spacing w:val="40"/>
        </w:rPr>
        <w:t> </w:t>
      </w:r>
      <w:r>
        <w:rPr/>
        <w:t>however, they are not yet widespread and quite isolated.</w:t>
      </w:r>
    </w:p>
    <w:p>
      <w:pPr>
        <w:pStyle w:val="BodyText"/>
        <w:spacing w:line="360" w:lineRule="auto" w:before="120"/>
        <w:ind w:left="23" w:right="651" w:firstLine="710"/>
      </w:pPr>
      <w:r>
        <w:rPr/>
        <w:t>Russia has not indicated its position relating the arbitration, as an alternative way to resolve tax disputes due to the fact that most DTAA already contain appropriate tools (Mooij, 2019). However, if</w:t>
      </w:r>
      <w:r>
        <w:rPr>
          <w:spacing w:val="40"/>
        </w:rPr>
        <w:t> </w:t>
      </w:r>
      <w:r>
        <w:rPr/>
        <w:t>Russia has chosen its own way</w:t>
      </w:r>
      <w:r>
        <w:rPr>
          <w:spacing w:val="-3"/>
        </w:rPr>
        <w:t> </w:t>
      </w:r>
      <w:r>
        <w:rPr/>
        <w:t>in this issue, the continuous improvement of domestic legislation is needed to</w:t>
      </w:r>
      <w:r>
        <w:rPr>
          <w:spacing w:val="-5"/>
        </w:rPr>
        <w:t> </w:t>
      </w:r>
      <w:r>
        <w:rPr/>
        <w:t>bring</w:t>
      </w:r>
      <w:r>
        <w:rPr>
          <w:spacing w:val="-5"/>
        </w:rPr>
        <w:t> </w:t>
      </w:r>
      <w:r>
        <w:rPr/>
        <w:t>it</w:t>
      </w:r>
      <w:r>
        <w:rPr>
          <w:spacing w:val="-3"/>
        </w:rPr>
        <w:t> </w:t>
      </w:r>
      <w:r>
        <w:rPr/>
        <w:t>in line</w:t>
      </w:r>
      <w:r>
        <w:rPr>
          <w:spacing w:val="-3"/>
        </w:rPr>
        <w:t> </w:t>
      </w:r>
      <w:r>
        <w:rPr/>
        <w:t>with international</w:t>
      </w:r>
      <w:r>
        <w:rPr>
          <w:spacing w:val="-3"/>
        </w:rPr>
        <w:t> </w:t>
      </w:r>
      <w:r>
        <w:rPr/>
        <w:t>standards. No</w:t>
      </w:r>
      <w:r>
        <w:rPr>
          <w:spacing w:val="-5"/>
        </w:rPr>
        <w:t> </w:t>
      </w:r>
      <w:r>
        <w:rPr/>
        <w:t>clear results</w:t>
      </w:r>
      <w:r>
        <w:rPr>
          <w:spacing w:val="-1"/>
        </w:rPr>
        <w:t> </w:t>
      </w:r>
      <w:r>
        <w:rPr/>
        <w:t>have</w:t>
      </w:r>
      <w:r>
        <w:rPr>
          <w:spacing w:val="-3"/>
        </w:rPr>
        <w:t> </w:t>
      </w:r>
      <w:r>
        <w:rPr/>
        <w:t>been achieved on the</w:t>
      </w:r>
      <w:r>
        <w:rPr>
          <w:spacing w:val="-8"/>
        </w:rPr>
        <w:t> </w:t>
      </w:r>
      <w:r>
        <w:rPr/>
        <w:t>implementation of MLI BEPS provisions regarding international tax arbitration, although, the corresponding work is planned</w:t>
      </w:r>
      <w:r>
        <w:rPr>
          <w:spacing w:val="40"/>
        </w:rPr>
        <w:t> </w:t>
      </w:r>
      <w:r>
        <w:rPr/>
        <w:t>in the Ministry of Finance of the Russian Federation (Siluanov, 2019). At this stage, it remains only to conclude that the instrument of international arbitration, as a way to resolve tax disputes in the Russian Federation, will not receive proper</w:t>
      </w:r>
      <w:r>
        <w:rPr>
          <w:spacing w:val="20"/>
        </w:rPr>
        <w:t> </w:t>
      </w:r>
      <w:r>
        <w:rPr/>
        <w:t>development. It can</w:t>
      </w:r>
      <w:r>
        <w:rPr>
          <w:spacing w:val="20"/>
        </w:rPr>
        <w:t> </w:t>
      </w:r>
      <w:r>
        <w:rPr/>
        <w:t>be assumed that the lack of a specific position</w:t>
      </w:r>
      <w:r>
        <w:rPr>
          <w:spacing w:val="20"/>
        </w:rPr>
        <w:t> </w:t>
      </w:r>
      <w:r>
        <w:rPr/>
        <w:t>on the use of international arbitration is a consequence of the increasing “anti-Russian rhetoric” in the resolution of cross-border tax disputes (Ivanov, 2019). However, recently, officials from the Ministry of Finance and the Federal Tax Service have been actively involved in OECD international events, where a discussion of the institute of international arbitration takes place. Consequently, it can be assumed that Russian financial and tax authorities plan to take into account international experience and</w:t>
      </w:r>
      <w:r>
        <w:rPr>
          <w:spacing w:val="40"/>
        </w:rPr>
        <w:t> </w:t>
      </w:r>
      <w:r>
        <w:rPr/>
        <w:t>recommendations as part of the implementation of MLI BEPS in national legislation (Mooij, 2019).</w:t>
      </w:r>
    </w:p>
    <w:p>
      <w:pPr>
        <w:pStyle w:val="BodyText"/>
        <w:spacing w:line="360" w:lineRule="auto" w:before="125"/>
        <w:ind w:left="23" w:right="658" w:firstLine="710"/>
      </w:pPr>
      <w:r>
        <w:rPr/>
        <w:t>As</w:t>
      </w:r>
      <w:r>
        <w:rPr>
          <w:spacing w:val="-1"/>
        </w:rPr>
        <w:t> </w:t>
      </w:r>
      <w:r>
        <w:rPr/>
        <w:t>indicated</w:t>
      </w:r>
      <w:r>
        <w:rPr>
          <w:spacing w:val="-4"/>
        </w:rPr>
        <w:t> </w:t>
      </w:r>
      <w:r>
        <w:rPr/>
        <w:t>above, Russia did</w:t>
      </w:r>
      <w:r>
        <w:rPr>
          <w:spacing w:val="-4"/>
        </w:rPr>
        <w:t> </w:t>
      </w:r>
      <w:r>
        <w:rPr/>
        <w:t>not</w:t>
      </w:r>
      <w:r>
        <w:rPr>
          <w:spacing w:val="-3"/>
        </w:rPr>
        <w:t> </w:t>
      </w:r>
      <w:r>
        <w:rPr/>
        <w:t>include</w:t>
      </w:r>
      <w:r>
        <w:rPr>
          <w:spacing w:val="-7"/>
        </w:rPr>
        <w:t> </w:t>
      </w:r>
      <w:r>
        <w:rPr/>
        <w:t>an arbitration clause</w:t>
      </w:r>
      <w:r>
        <w:rPr>
          <w:spacing w:val="-2"/>
        </w:rPr>
        <w:t> </w:t>
      </w:r>
      <w:r>
        <w:rPr/>
        <w:t>in its</w:t>
      </w:r>
      <w:r>
        <w:rPr>
          <w:spacing w:val="-6"/>
        </w:rPr>
        <w:t> </w:t>
      </w:r>
      <w:r>
        <w:rPr/>
        <w:t>tax</w:t>
      </w:r>
      <w:r>
        <w:rPr>
          <w:spacing w:val="-4"/>
        </w:rPr>
        <w:t> </w:t>
      </w:r>
      <w:r>
        <w:rPr/>
        <w:t>treaties (there</w:t>
      </w:r>
      <w:r>
        <w:rPr>
          <w:spacing w:val="-2"/>
        </w:rPr>
        <w:t> </w:t>
      </w:r>
      <w:r>
        <w:rPr/>
        <w:t>were</w:t>
      </w:r>
      <w:r>
        <w:rPr>
          <w:spacing w:val="-2"/>
        </w:rPr>
        <w:t> </w:t>
      </w:r>
      <w:r>
        <w:rPr/>
        <w:t>only</w:t>
      </w:r>
      <w:r>
        <w:rPr>
          <w:spacing w:val="-9"/>
        </w:rPr>
        <w:t> </w:t>
      </w:r>
      <w:r>
        <w:rPr/>
        <w:t>a few exceptions) prior to the signing of the multilateral document. However, international arbitration is also related to cross-border taxation and cross-border transactions involving the jurisdiction of the Russian Federation in some cases:</w:t>
      </w:r>
    </w:p>
    <w:p>
      <w:pPr>
        <w:pStyle w:val="ListParagraph"/>
        <w:numPr>
          <w:ilvl w:val="0"/>
          <w:numId w:val="6"/>
        </w:numPr>
        <w:tabs>
          <w:tab w:pos="981" w:val="left" w:leader="none"/>
        </w:tabs>
        <w:spacing w:line="360" w:lineRule="auto" w:before="118" w:after="0"/>
        <w:ind w:left="23" w:right="656" w:firstLine="710"/>
        <w:jc w:val="both"/>
        <w:rPr>
          <w:sz w:val="20"/>
        </w:rPr>
      </w:pPr>
      <w:r>
        <w:rPr>
          <w:sz w:val="20"/>
        </w:rPr>
        <w:t>international arbitration of private law disputes related to cross-border taxation: cross-border mergers and acquisitions; cross-border business purchase; VAT as part of the price in the contract; losses due to non-compliance or (and) aggressive tax planning;</w:t>
      </w:r>
    </w:p>
    <w:p>
      <w:pPr>
        <w:pStyle w:val="ListParagraph"/>
        <w:numPr>
          <w:ilvl w:val="0"/>
          <w:numId w:val="6"/>
        </w:numPr>
        <w:tabs>
          <w:tab w:pos="967" w:val="left" w:leader="none"/>
        </w:tabs>
        <w:spacing w:line="360" w:lineRule="auto" w:before="122" w:after="0"/>
        <w:ind w:left="23" w:right="648" w:firstLine="710"/>
        <w:jc w:val="both"/>
        <w:rPr>
          <w:sz w:val="20"/>
        </w:rPr>
      </w:pPr>
      <w:r>
        <w:rPr>
          <w:sz w:val="20"/>
        </w:rPr>
        <w:t>international arbitration in respect of contracts (quasiparticle nature) between the state and the investor that include some provisions regarding taxation and guarantees for the investor: for example, Production sharing agreements and contracts between the administration of</w:t>
      </w:r>
      <w:r>
        <w:rPr>
          <w:spacing w:val="-2"/>
          <w:sz w:val="20"/>
        </w:rPr>
        <w:t> </w:t>
      </w:r>
      <w:r>
        <w:rPr>
          <w:sz w:val="20"/>
        </w:rPr>
        <w:t>the special economic (tax) zone (project of the International Bureau of Fiscal Documentation on special tax zones and the presentation of relevant reports at the Rotterdam Conference in 2017, at the Vigo Conference in 2016);</w:t>
      </w:r>
    </w:p>
    <w:p>
      <w:pPr>
        <w:pStyle w:val="ListParagraph"/>
        <w:spacing w:after="0" w:line="360" w:lineRule="auto"/>
        <w:jc w:val="both"/>
        <w:rPr>
          <w:sz w:val="20"/>
        </w:rPr>
        <w:sectPr>
          <w:pgSz w:w="11910" w:h="16840"/>
          <w:pgMar w:header="709" w:footer="695" w:top="1320" w:bottom="880" w:left="1417" w:right="1133"/>
        </w:sectPr>
      </w:pPr>
    </w:p>
    <w:p>
      <w:pPr>
        <w:pStyle w:val="ListParagraph"/>
        <w:numPr>
          <w:ilvl w:val="0"/>
          <w:numId w:val="6"/>
        </w:numPr>
        <w:tabs>
          <w:tab w:pos="1308" w:val="left" w:leader="none"/>
        </w:tabs>
        <w:spacing w:line="240" w:lineRule="auto" w:before="91" w:after="0"/>
        <w:ind w:left="1308" w:right="0" w:hanging="219"/>
        <w:jc w:val="both"/>
        <w:rPr>
          <w:sz w:val="20"/>
        </w:rPr>
      </w:pPr>
      <w:r>
        <w:rPr>
          <w:sz w:val="20"/>
        </w:rPr>
        <w:t>arbitration,</w:t>
      </w:r>
      <w:r>
        <w:rPr>
          <w:spacing w:val="-11"/>
          <w:sz w:val="20"/>
        </w:rPr>
        <w:t> </w:t>
      </w:r>
      <w:r>
        <w:rPr>
          <w:sz w:val="20"/>
        </w:rPr>
        <w:t>based</w:t>
      </w:r>
      <w:r>
        <w:rPr>
          <w:spacing w:val="-7"/>
          <w:sz w:val="20"/>
        </w:rPr>
        <w:t> </w:t>
      </w:r>
      <w:r>
        <w:rPr>
          <w:sz w:val="20"/>
        </w:rPr>
        <w:t>on</w:t>
      </w:r>
      <w:r>
        <w:rPr>
          <w:spacing w:val="-7"/>
          <w:sz w:val="20"/>
        </w:rPr>
        <w:t> </w:t>
      </w:r>
      <w:r>
        <w:rPr>
          <w:sz w:val="20"/>
        </w:rPr>
        <w:t>multilateral</w:t>
      </w:r>
      <w:r>
        <w:rPr>
          <w:spacing w:val="-9"/>
          <w:sz w:val="20"/>
        </w:rPr>
        <w:t> </w:t>
      </w:r>
      <w:r>
        <w:rPr>
          <w:sz w:val="20"/>
        </w:rPr>
        <w:t>investment</w:t>
      </w:r>
      <w:r>
        <w:rPr>
          <w:spacing w:val="-10"/>
          <w:sz w:val="20"/>
        </w:rPr>
        <w:t> </w:t>
      </w:r>
      <w:r>
        <w:rPr>
          <w:sz w:val="20"/>
        </w:rPr>
        <w:t>treaties,</w:t>
      </w:r>
      <w:r>
        <w:rPr>
          <w:spacing w:val="-8"/>
          <w:sz w:val="20"/>
        </w:rPr>
        <w:t> </w:t>
      </w:r>
      <w:r>
        <w:rPr>
          <w:sz w:val="20"/>
        </w:rPr>
        <w:t>related</w:t>
      </w:r>
      <w:r>
        <w:rPr>
          <w:spacing w:val="-7"/>
          <w:sz w:val="20"/>
        </w:rPr>
        <w:t> </w:t>
      </w:r>
      <w:r>
        <w:rPr>
          <w:sz w:val="20"/>
        </w:rPr>
        <w:t>to</w:t>
      </w:r>
      <w:r>
        <w:rPr>
          <w:spacing w:val="-11"/>
          <w:sz w:val="20"/>
        </w:rPr>
        <w:t> </w:t>
      </w:r>
      <w:r>
        <w:rPr>
          <w:sz w:val="20"/>
        </w:rPr>
        <w:t>certain</w:t>
      </w:r>
      <w:r>
        <w:rPr>
          <w:spacing w:val="-5"/>
          <w:sz w:val="20"/>
        </w:rPr>
        <w:t> </w:t>
      </w:r>
      <w:r>
        <w:rPr>
          <w:sz w:val="20"/>
        </w:rPr>
        <w:t>tax</w:t>
      </w:r>
      <w:r>
        <w:rPr>
          <w:spacing w:val="-11"/>
          <w:sz w:val="20"/>
        </w:rPr>
        <w:t> </w:t>
      </w:r>
      <w:r>
        <w:rPr>
          <w:spacing w:val="-2"/>
          <w:sz w:val="20"/>
        </w:rPr>
        <w:t>issues;</w:t>
      </w:r>
    </w:p>
    <w:p>
      <w:pPr>
        <w:pStyle w:val="BodyText"/>
        <w:spacing w:before="6"/>
        <w:jc w:val="left"/>
      </w:pPr>
    </w:p>
    <w:p>
      <w:pPr>
        <w:pStyle w:val="ListParagraph"/>
        <w:numPr>
          <w:ilvl w:val="0"/>
          <w:numId w:val="6"/>
        </w:numPr>
        <w:tabs>
          <w:tab w:pos="1346" w:val="left" w:leader="none"/>
        </w:tabs>
        <w:spacing w:line="360" w:lineRule="auto" w:before="0" w:after="0"/>
        <w:ind w:left="378" w:right="298" w:firstLine="710"/>
        <w:jc w:val="both"/>
        <w:rPr>
          <w:sz w:val="20"/>
        </w:rPr>
      </w:pPr>
      <w:r>
        <w:rPr>
          <w:sz w:val="20"/>
        </w:rPr>
        <w:t>several projects related to the creation of tax arbitration within the framework of regional integration organizations with the participation of Russia (EAEU, BRICS; in particular, the project of multilateral tax arbitration convention for BRICS). The positions of states were developed and presented at the BRICS Legal Forum of Experts and Developing Countries (Russia, Yekaterinburg, June 2017) and at</w:t>
      </w:r>
      <w:r>
        <w:rPr>
          <w:spacing w:val="40"/>
          <w:sz w:val="20"/>
        </w:rPr>
        <w:t> </w:t>
      </w:r>
      <w:r>
        <w:rPr>
          <w:sz w:val="20"/>
        </w:rPr>
        <w:t>the IV BRICS Legal Forum (Russia, Moscow, December 2017).</w:t>
      </w:r>
    </w:p>
    <w:p>
      <w:pPr>
        <w:pStyle w:val="Heading3"/>
        <w:numPr>
          <w:ilvl w:val="1"/>
          <w:numId w:val="3"/>
        </w:numPr>
        <w:tabs>
          <w:tab w:pos="1794" w:val="left" w:leader="none"/>
        </w:tabs>
        <w:spacing w:line="240" w:lineRule="auto" w:before="124" w:after="0"/>
        <w:ind w:left="1794" w:right="0" w:hanging="705"/>
        <w:jc w:val="both"/>
      </w:pPr>
      <w:r>
        <w:rPr/>
        <w:t>Questions</w:t>
      </w:r>
      <w:r>
        <w:rPr>
          <w:spacing w:val="-7"/>
        </w:rPr>
        <w:t> </w:t>
      </w:r>
      <w:r>
        <w:rPr/>
        <w:t>for</w:t>
      </w:r>
      <w:r>
        <w:rPr>
          <w:spacing w:val="-3"/>
        </w:rPr>
        <w:t> </w:t>
      </w:r>
      <w:r>
        <w:rPr/>
        <w:t>subsequent</w:t>
      </w:r>
      <w:r>
        <w:rPr>
          <w:spacing w:val="-5"/>
        </w:rPr>
        <w:t> </w:t>
      </w:r>
      <w:r>
        <w:rPr/>
        <w:t>elaboration</w:t>
      </w:r>
      <w:r>
        <w:rPr>
          <w:spacing w:val="-6"/>
        </w:rPr>
        <w:t> </w:t>
      </w:r>
      <w:r>
        <w:rPr/>
        <w:t>on</w:t>
      </w:r>
      <w:r>
        <w:rPr>
          <w:spacing w:val="-6"/>
        </w:rPr>
        <w:t> </w:t>
      </w:r>
      <w:r>
        <w:rPr/>
        <w:t>MLI</w:t>
      </w:r>
      <w:r>
        <w:rPr>
          <w:spacing w:val="-11"/>
        </w:rPr>
        <w:t> </w:t>
      </w:r>
      <w:r>
        <w:rPr/>
        <w:t>BEPS</w:t>
      </w:r>
      <w:r>
        <w:rPr>
          <w:spacing w:val="-6"/>
        </w:rPr>
        <w:t> </w:t>
      </w:r>
      <w:r>
        <w:rPr>
          <w:spacing w:val="-2"/>
        </w:rPr>
        <w:t>implementation</w:t>
      </w:r>
    </w:p>
    <w:p>
      <w:pPr>
        <w:pStyle w:val="BodyText"/>
        <w:jc w:val="left"/>
        <w:rPr>
          <w:b/>
        </w:rPr>
      </w:pPr>
    </w:p>
    <w:p>
      <w:pPr>
        <w:pStyle w:val="BodyText"/>
        <w:spacing w:line="360" w:lineRule="auto"/>
        <w:ind w:left="378" w:right="296" w:firstLine="710"/>
      </w:pPr>
      <w:r>
        <w:rPr/>
        <w:t>A study of the BEPS Multilateral Convention and its impact on the Russian tax system suggests that significant practical problems arise</w:t>
      </w:r>
      <w:r>
        <w:rPr>
          <w:spacing w:val="-2"/>
        </w:rPr>
        <w:t> </w:t>
      </w:r>
      <w:r>
        <w:rPr/>
        <w:t>in connection with expanding the</w:t>
      </w:r>
      <w:r>
        <w:rPr>
          <w:spacing w:val="-7"/>
        </w:rPr>
        <w:t> </w:t>
      </w:r>
      <w:r>
        <w:rPr/>
        <w:t>arsenal of</w:t>
      </w:r>
      <w:r>
        <w:rPr>
          <w:spacing w:val="-4"/>
        </w:rPr>
        <w:t> </w:t>
      </w:r>
      <w:r>
        <w:rPr/>
        <w:t>protective</w:t>
      </w:r>
      <w:r>
        <w:rPr>
          <w:spacing w:val="-2"/>
        </w:rPr>
        <w:t> </w:t>
      </w:r>
      <w:r>
        <w:rPr/>
        <w:t>measures</w:t>
      </w:r>
      <w:r>
        <w:rPr>
          <w:spacing w:val="-1"/>
        </w:rPr>
        <w:t> </w:t>
      </w:r>
      <w:r>
        <w:rPr/>
        <w:t>for DTAA in states ratifying MLI BEPS, despite a fairly</w:t>
      </w:r>
      <w:r>
        <w:rPr>
          <w:spacing w:val="-2"/>
        </w:rPr>
        <w:t> </w:t>
      </w:r>
      <w:r>
        <w:rPr/>
        <w:t>deep institutional study of anti-evasive strategies and mechanisms at the international level.</w:t>
      </w:r>
    </w:p>
    <w:p>
      <w:pPr>
        <w:pStyle w:val="BodyText"/>
        <w:spacing w:line="360" w:lineRule="auto" w:before="123"/>
        <w:ind w:left="378" w:right="303" w:firstLine="710"/>
      </w:pPr>
      <w:r>
        <w:rPr/>
        <w:t>A coherent understanding of equally worded provisions in DTAA is indeed a laudable goal but it should be noted that at this stage it is not clear whether it is achievable. Using the example of the Russian tax system, it was demonstrated that many common anti-evasive instruments are developed at the level of national legislation or are</w:t>
      </w:r>
      <w:r>
        <w:rPr>
          <w:spacing w:val="-3"/>
        </w:rPr>
        <w:t> </w:t>
      </w:r>
      <w:r>
        <w:rPr/>
        <w:t>fixed in the</w:t>
      </w:r>
      <w:r>
        <w:rPr>
          <w:spacing w:val="-8"/>
        </w:rPr>
        <w:t> </w:t>
      </w:r>
      <w:r>
        <w:rPr/>
        <w:t>relevant DTAA. In this</w:t>
      </w:r>
      <w:r>
        <w:rPr>
          <w:spacing w:val="-1"/>
        </w:rPr>
        <w:t> </w:t>
      </w:r>
      <w:r>
        <w:rPr/>
        <w:t>system, international special MLI BEPS</w:t>
      </w:r>
      <w:r>
        <w:rPr>
          <w:spacing w:val="-1"/>
        </w:rPr>
        <w:t> </w:t>
      </w:r>
      <w:r>
        <w:rPr/>
        <w:t>rules (such as LOB and PPT) are</w:t>
      </w:r>
      <w:r>
        <w:rPr>
          <w:spacing w:val="-2"/>
        </w:rPr>
        <w:t> </w:t>
      </w:r>
      <w:r>
        <w:rPr/>
        <w:t>not often perceived as preferable in practice.</w:t>
      </w:r>
    </w:p>
    <w:p>
      <w:pPr>
        <w:pStyle w:val="BodyText"/>
        <w:spacing w:before="119"/>
        <w:ind w:left="1089"/>
      </w:pPr>
      <w:r>
        <w:rPr/>
        <w:t>Therefore,</w:t>
      </w:r>
      <w:r>
        <w:rPr>
          <w:spacing w:val="-5"/>
        </w:rPr>
        <w:t> </w:t>
      </w:r>
      <w:r>
        <w:rPr/>
        <w:t>it</w:t>
      </w:r>
      <w:r>
        <w:rPr>
          <w:spacing w:val="-6"/>
        </w:rPr>
        <w:t> </w:t>
      </w:r>
      <w:r>
        <w:rPr/>
        <w:t>is</w:t>
      </w:r>
      <w:r>
        <w:rPr>
          <w:spacing w:val="-10"/>
        </w:rPr>
        <w:t> </w:t>
      </w:r>
      <w:r>
        <w:rPr/>
        <w:t>appropriate</w:t>
      </w:r>
      <w:r>
        <w:rPr>
          <w:spacing w:val="-11"/>
        </w:rPr>
        <w:t> </w:t>
      </w:r>
      <w:r>
        <w:rPr/>
        <w:t>to</w:t>
      </w:r>
      <w:r>
        <w:rPr>
          <w:spacing w:val="-8"/>
        </w:rPr>
        <w:t> </w:t>
      </w:r>
      <w:r>
        <w:rPr/>
        <w:t>raise</w:t>
      </w:r>
      <w:r>
        <w:rPr>
          <w:spacing w:val="-11"/>
        </w:rPr>
        <w:t> </w:t>
      </w:r>
      <w:r>
        <w:rPr/>
        <w:t>the</w:t>
      </w:r>
      <w:r>
        <w:rPr>
          <w:spacing w:val="-7"/>
        </w:rPr>
        <w:t> </w:t>
      </w:r>
      <w:r>
        <w:rPr/>
        <w:t>following</w:t>
      </w:r>
      <w:r>
        <w:rPr>
          <w:spacing w:val="-8"/>
        </w:rPr>
        <w:t> </w:t>
      </w:r>
      <w:r>
        <w:rPr/>
        <w:t>questions</w:t>
      </w:r>
      <w:r>
        <w:rPr>
          <w:spacing w:val="-9"/>
        </w:rPr>
        <w:t> </w:t>
      </w:r>
      <w:r>
        <w:rPr/>
        <w:t>for further</w:t>
      </w:r>
      <w:r>
        <w:rPr>
          <w:spacing w:val="1"/>
        </w:rPr>
        <w:t> </w:t>
      </w:r>
      <w:r>
        <w:rPr>
          <w:spacing w:val="-2"/>
        </w:rPr>
        <w:t>discussion:</w:t>
      </w:r>
    </w:p>
    <w:p>
      <w:pPr>
        <w:pStyle w:val="BodyText"/>
        <w:spacing w:before="6"/>
        <w:jc w:val="left"/>
      </w:pPr>
    </w:p>
    <w:p>
      <w:pPr>
        <w:pStyle w:val="ListParagraph"/>
        <w:numPr>
          <w:ilvl w:val="0"/>
          <w:numId w:val="7"/>
        </w:numPr>
        <w:tabs>
          <w:tab w:pos="1795" w:val="left" w:leader="none"/>
        </w:tabs>
        <w:spacing w:line="360" w:lineRule="auto" w:before="0" w:after="0"/>
        <w:ind w:left="378" w:right="298" w:firstLine="710"/>
        <w:jc w:val="both"/>
        <w:rPr>
          <w:sz w:val="20"/>
        </w:rPr>
      </w:pPr>
      <w:r>
        <w:rPr>
          <w:sz w:val="20"/>
        </w:rPr>
        <w:t>Is there a need for special rules aimed at counteracting abuses by taxpayers if the general conservation standards and concepts of national level (or at the level of DTAA) have proved their effectiveness and passed the "test of time"? In what cases can the various safeguards of DTAA and the national tax laws of the DTAA member states complement each other and where do they enter into competition with each other that should</w:t>
      </w:r>
      <w:r>
        <w:rPr>
          <w:spacing w:val="-3"/>
          <w:sz w:val="20"/>
        </w:rPr>
        <w:t> </w:t>
      </w:r>
      <w:r>
        <w:rPr>
          <w:sz w:val="20"/>
        </w:rPr>
        <w:t>be</w:t>
      </w:r>
      <w:r>
        <w:rPr>
          <w:spacing w:val="-6"/>
          <w:sz w:val="20"/>
        </w:rPr>
        <w:t> </w:t>
      </w:r>
      <w:r>
        <w:rPr>
          <w:sz w:val="20"/>
        </w:rPr>
        <w:t>decided</w:t>
      </w:r>
      <w:r>
        <w:rPr>
          <w:spacing w:val="-3"/>
          <w:sz w:val="20"/>
        </w:rPr>
        <w:t> </w:t>
      </w:r>
      <w:r>
        <w:rPr>
          <w:sz w:val="20"/>
        </w:rPr>
        <w:t>in favor of</w:t>
      </w:r>
      <w:r>
        <w:rPr>
          <w:spacing w:val="-7"/>
          <w:sz w:val="20"/>
        </w:rPr>
        <w:t> </w:t>
      </w:r>
      <w:r>
        <w:rPr>
          <w:sz w:val="20"/>
        </w:rPr>
        <w:t>a single</w:t>
      </w:r>
      <w:r>
        <w:rPr>
          <w:spacing w:val="-6"/>
          <w:sz w:val="20"/>
        </w:rPr>
        <w:t> </w:t>
      </w:r>
      <w:r>
        <w:rPr>
          <w:sz w:val="20"/>
        </w:rPr>
        <w:t>norm</w:t>
      </w:r>
      <w:r>
        <w:rPr>
          <w:spacing w:val="-1"/>
          <w:sz w:val="20"/>
        </w:rPr>
        <w:t> </w:t>
      </w:r>
      <w:r>
        <w:rPr>
          <w:sz w:val="20"/>
        </w:rPr>
        <w:t>(the</w:t>
      </w:r>
      <w:r>
        <w:rPr>
          <w:spacing w:val="-6"/>
          <w:sz w:val="20"/>
        </w:rPr>
        <w:t> </w:t>
      </w:r>
      <w:r>
        <w:rPr>
          <w:sz w:val="20"/>
        </w:rPr>
        <w:t>principle</w:t>
      </w:r>
      <w:r>
        <w:rPr>
          <w:spacing w:val="-6"/>
          <w:sz w:val="20"/>
        </w:rPr>
        <w:t> </w:t>
      </w:r>
      <w:r>
        <w:rPr>
          <w:sz w:val="20"/>
        </w:rPr>
        <w:t>of</w:t>
      </w:r>
      <w:r>
        <w:rPr>
          <w:spacing w:val="-3"/>
          <w:sz w:val="20"/>
        </w:rPr>
        <w:t> </w:t>
      </w:r>
      <w:r>
        <w:rPr>
          <w:sz w:val="20"/>
        </w:rPr>
        <w:t>applying</w:t>
      </w:r>
      <w:r>
        <w:rPr>
          <w:spacing w:val="-3"/>
          <w:sz w:val="20"/>
        </w:rPr>
        <w:t> </w:t>
      </w:r>
      <w:r>
        <w:rPr>
          <w:sz w:val="20"/>
        </w:rPr>
        <w:t>more special norms)?</w:t>
      </w:r>
    </w:p>
    <w:p>
      <w:pPr>
        <w:pStyle w:val="BodyText"/>
        <w:spacing w:line="360" w:lineRule="auto" w:before="120"/>
        <w:ind w:left="378" w:right="296" w:firstLine="710"/>
      </w:pPr>
      <w:r>
        <w:rPr/>
        <w:t>Despite the priority of international norms over national ones, it is national legislation that sets definitions of concepts used in agreements, for example, whether a person is a resident or income is a dividend. It is noted that some provisions of the Multilateral Tax Convention indicate directly the</w:t>
      </w:r>
      <w:r>
        <w:rPr>
          <w:spacing w:val="80"/>
        </w:rPr>
        <w:t> </w:t>
      </w:r>
      <w:r>
        <w:rPr/>
        <w:t>possibility of applying national standards (Article 9) (OECD, 2015). Adopting any anti-evasive provisions proposed by BEPS, countries should be guided by the objective conditions of their legal system and also features of the concluding (or already concluded, during making changes to it) agreement upon their </w:t>
      </w:r>
      <w:r>
        <w:rPr>
          <w:spacing w:val="-2"/>
        </w:rPr>
        <w:t>implementation.</w:t>
      </w:r>
    </w:p>
    <w:p>
      <w:pPr>
        <w:pStyle w:val="ListParagraph"/>
        <w:numPr>
          <w:ilvl w:val="0"/>
          <w:numId w:val="7"/>
        </w:numPr>
        <w:tabs>
          <w:tab w:pos="1795" w:val="left" w:leader="none"/>
        </w:tabs>
        <w:spacing w:line="360" w:lineRule="auto" w:before="120" w:after="0"/>
        <w:ind w:left="378" w:right="297" w:firstLine="710"/>
        <w:jc w:val="both"/>
        <w:rPr>
          <w:sz w:val="20"/>
        </w:rPr>
      </w:pPr>
      <w:r>
        <w:rPr>
          <w:sz w:val="20"/>
        </w:rPr>
        <w:t>Do non-OECD countries (and even some OECD countries) attach normative value to the BEPS project? Can the OECD's new comments reach the status of generally accepted manual among countries after such a short period?</w:t>
      </w:r>
    </w:p>
    <w:p>
      <w:pPr>
        <w:pStyle w:val="BodyText"/>
        <w:spacing w:line="357" w:lineRule="auto" w:before="122"/>
        <w:ind w:left="378" w:right="302" w:firstLine="710"/>
      </w:pPr>
      <w:r>
        <w:rPr/>
        <w:t>OECD and non-OECD countries use different approaches to deal with cases of “treaty</w:t>
      </w:r>
      <w:r>
        <w:rPr>
          <w:spacing w:val="-2"/>
        </w:rPr>
        <w:t> </w:t>
      </w:r>
      <w:r>
        <w:rPr/>
        <w:t>shopping”, against which the rules of the current version</w:t>
      </w:r>
      <w:r>
        <w:rPr>
          <w:spacing w:val="20"/>
        </w:rPr>
        <w:t> </w:t>
      </w:r>
      <w:r>
        <w:rPr/>
        <w:t>of the OECD Model Convention are not directed. Based on</w:t>
      </w:r>
      <w:r>
        <w:rPr>
          <w:spacing w:val="40"/>
        </w:rPr>
        <w:t> </w:t>
      </w:r>
      <w:r>
        <w:rPr/>
        <w:t>the benefits and limitations of such</w:t>
      </w:r>
      <w:r>
        <w:rPr>
          <w:spacing w:val="15"/>
        </w:rPr>
        <w:t> </w:t>
      </w:r>
      <w:r>
        <w:rPr/>
        <w:t>approaches, the “minimum standard” of actions is presented in section</w:t>
      </w:r>
    </w:p>
    <w:p>
      <w:pPr>
        <w:pStyle w:val="BodyText"/>
        <w:spacing w:after="0" w:line="357" w:lineRule="auto"/>
        <w:sectPr>
          <w:pgSz w:w="11910" w:h="16840"/>
          <w:pgMar w:header="709" w:footer="695" w:top="1320" w:bottom="880" w:left="1417" w:right="1133"/>
        </w:sectPr>
      </w:pPr>
    </w:p>
    <w:p>
      <w:pPr>
        <w:pStyle w:val="BodyText"/>
        <w:spacing w:line="360" w:lineRule="auto" w:before="91"/>
        <w:ind w:left="23" w:right="662"/>
      </w:pPr>
      <w:r>
        <w:rPr/>
        <w:t>A of the OECD that are aimed at countering tax evasion and that states must follow to ensure a minimum level of protection from “treaty shopping” (Kleist, 2018).</w:t>
      </w:r>
    </w:p>
    <w:p>
      <w:pPr>
        <w:pStyle w:val="ListParagraph"/>
        <w:numPr>
          <w:ilvl w:val="0"/>
          <w:numId w:val="7"/>
        </w:numPr>
        <w:tabs>
          <w:tab w:pos="1439" w:val="left" w:leader="none"/>
        </w:tabs>
        <w:spacing w:line="357" w:lineRule="auto" w:before="122" w:after="0"/>
        <w:ind w:left="23" w:right="656" w:firstLine="710"/>
        <w:jc w:val="both"/>
        <w:rPr>
          <w:sz w:val="20"/>
        </w:rPr>
      </w:pPr>
      <w:r>
        <w:rPr>
          <w:sz w:val="20"/>
        </w:rPr>
        <w:t>Can tax</w:t>
      </w:r>
      <w:r>
        <w:rPr>
          <w:spacing w:val="-4"/>
          <w:sz w:val="20"/>
        </w:rPr>
        <w:t> </w:t>
      </w:r>
      <w:r>
        <w:rPr>
          <w:sz w:val="20"/>
        </w:rPr>
        <w:t>authorities and judges, who</w:t>
      </w:r>
      <w:r>
        <w:rPr>
          <w:spacing w:val="-4"/>
          <w:sz w:val="20"/>
        </w:rPr>
        <w:t> </w:t>
      </w:r>
      <w:r>
        <w:rPr>
          <w:sz w:val="20"/>
        </w:rPr>
        <w:t>are familiar with the</w:t>
      </w:r>
      <w:r>
        <w:rPr>
          <w:spacing w:val="-2"/>
          <w:sz w:val="20"/>
        </w:rPr>
        <w:t> </w:t>
      </w:r>
      <w:r>
        <w:rPr>
          <w:sz w:val="20"/>
        </w:rPr>
        <w:t>concepts of</w:t>
      </w:r>
      <w:r>
        <w:rPr>
          <w:spacing w:val="-4"/>
          <w:sz w:val="20"/>
        </w:rPr>
        <w:t> </w:t>
      </w:r>
      <w:r>
        <w:rPr>
          <w:sz w:val="20"/>
        </w:rPr>
        <w:t>domestic</w:t>
      </w:r>
      <w:r>
        <w:rPr>
          <w:spacing w:val="-2"/>
          <w:sz w:val="20"/>
        </w:rPr>
        <w:t> </w:t>
      </w:r>
      <w:r>
        <w:rPr>
          <w:sz w:val="20"/>
        </w:rPr>
        <w:t>law</w:t>
      </w:r>
      <w:r>
        <w:rPr>
          <w:spacing w:val="-5"/>
          <w:sz w:val="20"/>
        </w:rPr>
        <w:t> </w:t>
      </w:r>
      <w:r>
        <w:rPr>
          <w:sz w:val="20"/>
        </w:rPr>
        <w:t>(which may or may not be similar, but in any case may have minor, although, important differences), take a consistent approach?</w:t>
      </w:r>
    </w:p>
    <w:p>
      <w:pPr>
        <w:pStyle w:val="BodyText"/>
        <w:spacing w:line="360" w:lineRule="auto" w:before="124"/>
        <w:ind w:left="23" w:right="656" w:firstLine="710"/>
      </w:pPr>
      <w:r>
        <w:rPr/>
        <w:t>The principle of being supremacy</w:t>
      </w:r>
      <w:r>
        <w:rPr>
          <w:spacing w:val="-4"/>
        </w:rPr>
        <w:t> </w:t>
      </w:r>
      <w:r>
        <w:rPr/>
        <w:t>prevails over form in Russian courts in the field of international taxation cases. Being extremely attractive from the point of view of justice and economic feasibility of potential court decisions, the problem is that this principle leads to legal chaos in the conditions of weak development of institutions and tax culture. In particular, the concept of unreasonable tax benefit (and individual components of this concept) and the rules on the actual owner of the income apply to tax agreements. Moreover, the</w:t>
      </w:r>
      <w:r>
        <w:rPr>
          <w:spacing w:val="-6"/>
        </w:rPr>
        <w:t> </w:t>
      </w:r>
      <w:r>
        <w:rPr/>
        <w:t>practice</w:t>
      </w:r>
      <w:r>
        <w:rPr>
          <w:spacing w:val="-6"/>
        </w:rPr>
        <w:t> </w:t>
      </w:r>
      <w:r>
        <w:rPr/>
        <w:t>of applying</w:t>
      </w:r>
      <w:r>
        <w:rPr>
          <w:spacing w:val="-3"/>
        </w:rPr>
        <w:t> </w:t>
      </w:r>
      <w:r>
        <w:rPr/>
        <w:t>such rules</w:t>
      </w:r>
      <w:r>
        <w:rPr>
          <w:spacing w:val="-4"/>
        </w:rPr>
        <w:t> </w:t>
      </w:r>
      <w:r>
        <w:rPr/>
        <w:t>is</w:t>
      </w:r>
      <w:r>
        <w:rPr>
          <w:spacing w:val="-4"/>
        </w:rPr>
        <w:t> </w:t>
      </w:r>
      <w:r>
        <w:rPr/>
        <w:t>a</w:t>
      </w:r>
      <w:r>
        <w:rPr>
          <w:spacing w:val="-1"/>
        </w:rPr>
        <w:t> </w:t>
      </w:r>
      <w:r>
        <w:rPr/>
        <w:t>relatively</w:t>
      </w:r>
      <w:r>
        <w:rPr>
          <w:spacing w:val="-7"/>
        </w:rPr>
        <w:t> </w:t>
      </w:r>
      <w:r>
        <w:rPr/>
        <w:t>new</w:t>
      </w:r>
      <w:r>
        <w:rPr>
          <w:spacing w:val="-4"/>
        </w:rPr>
        <w:t> </w:t>
      </w:r>
      <w:r>
        <w:rPr/>
        <w:t>phenomenon for a</w:t>
      </w:r>
      <w:r>
        <w:rPr>
          <w:spacing w:val="-1"/>
        </w:rPr>
        <w:t> </w:t>
      </w:r>
      <w:r>
        <w:rPr/>
        <w:t>country</w:t>
      </w:r>
      <w:r>
        <w:rPr>
          <w:spacing w:val="-5"/>
        </w:rPr>
        <w:t> </w:t>
      </w:r>
      <w:r>
        <w:rPr/>
        <w:t>and the courts demonstrate an inconsistent or not very traditional approach to such rules in a number of cases (Milogolov, 2015; Bykov and Frotscher, 2016).</w:t>
      </w:r>
    </w:p>
    <w:p>
      <w:pPr>
        <w:pStyle w:val="BodyText"/>
        <w:spacing w:line="360" w:lineRule="auto" w:before="121"/>
        <w:ind w:left="23" w:right="653" w:firstLine="710"/>
      </w:pPr>
      <w:r>
        <w:rPr/>
        <w:t>In our opinion, discrepancies in the interpretation of terms and the application of similar concepts, developed within the framework of national legislation, should be resisted since it is obvious that an international “common understanding” is supposed to be introduced through the uniform adoption of recommendations, developed by the OECD as an embodiment of positive global experience in countering BEPS. States that</w:t>
      </w:r>
      <w:r>
        <w:rPr>
          <w:spacing w:val="-2"/>
        </w:rPr>
        <w:t> </w:t>
      </w:r>
      <w:r>
        <w:rPr/>
        <w:t>ratify</w:t>
      </w:r>
      <w:r>
        <w:rPr>
          <w:spacing w:val="-8"/>
        </w:rPr>
        <w:t> </w:t>
      </w:r>
      <w:r>
        <w:rPr/>
        <w:t>the</w:t>
      </w:r>
      <w:r>
        <w:rPr>
          <w:spacing w:val="-2"/>
        </w:rPr>
        <w:t> </w:t>
      </w:r>
      <w:r>
        <w:rPr/>
        <w:t>MLI BEPS should seek to</w:t>
      </w:r>
      <w:r>
        <w:rPr>
          <w:spacing w:val="-4"/>
        </w:rPr>
        <w:t> </w:t>
      </w:r>
      <w:r>
        <w:rPr/>
        <w:t>interpret</w:t>
      </w:r>
      <w:r>
        <w:rPr>
          <w:spacing w:val="-2"/>
        </w:rPr>
        <w:t> </w:t>
      </w:r>
      <w:r>
        <w:rPr/>
        <w:t>the</w:t>
      </w:r>
      <w:r>
        <w:rPr>
          <w:spacing w:val="-2"/>
        </w:rPr>
        <w:t> </w:t>
      </w:r>
      <w:r>
        <w:rPr/>
        <w:t>terms used in</w:t>
      </w:r>
      <w:r>
        <w:rPr>
          <w:spacing w:val="13"/>
        </w:rPr>
        <w:t> </w:t>
      </w:r>
      <w:r>
        <w:rPr/>
        <w:t>DTAA in accordance</w:t>
      </w:r>
      <w:r>
        <w:rPr>
          <w:spacing w:val="-2"/>
        </w:rPr>
        <w:t> </w:t>
      </w:r>
      <w:r>
        <w:rPr/>
        <w:t>with a “common understanding" of the terminology of anti-avoidance instruments. At the same time, it is necessary to take into account the context, in which certain terminology is used, as well as the object and purpose of MLI BEPS in interconnection with the DTAA, which it changes, so that this does not lead to an infringement of the interests of a particular state.</w:t>
      </w:r>
    </w:p>
    <w:p>
      <w:pPr>
        <w:pStyle w:val="BodyText"/>
        <w:spacing w:line="360" w:lineRule="auto" w:before="122"/>
        <w:ind w:left="23" w:right="653" w:firstLine="710"/>
      </w:pPr>
      <w:r>
        <w:rPr/>
        <w:t>In addition, the question of the relationship of various anti-evasive concepts (LOB, PPT, etc.) is also unresolved in their application to protect DTAA. Depending on the circumstances, applying the same concept may lead to different results. The decisive role must be played by the right choice of anti-evasive concept in each case. It is necessary to solve the issue of the simultaneous application of several concepts. This situation raises another question: does the impossibility of applying one mechanism (for example, whether the taxpayer meets the criteria for permanent establishment) imply the impossibility of depriving the taxpayer of the</w:t>
      </w:r>
      <w:r>
        <w:rPr>
          <w:spacing w:val="-4"/>
        </w:rPr>
        <w:t> </w:t>
      </w:r>
      <w:r>
        <w:rPr/>
        <w:t>right to use DTAA by</w:t>
      </w:r>
      <w:r>
        <w:rPr>
          <w:spacing w:val="-6"/>
        </w:rPr>
        <w:t> </w:t>
      </w:r>
      <w:r>
        <w:rPr/>
        <w:t>using another protective mechanism (for example, PPT or LOB)?</w:t>
      </w:r>
    </w:p>
    <w:p>
      <w:pPr>
        <w:pStyle w:val="BodyText"/>
        <w:spacing w:line="360" w:lineRule="auto" w:before="120"/>
        <w:ind w:left="23" w:right="653" w:firstLine="710"/>
      </w:pPr>
      <w:r>
        <w:rPr/>
        <w:t>This study indicates the need for the wording of the term “digital tax establishment”, as it is not disclosed either in the OECD international recommendations or at the level of national tax legislation. In</w:t>
      </w:r>
      <w:r>
        <w:rPr>
          <w:spacing w:val="40"/>
        </w:rPr>
        <w:t> </w:t>
      </w:r>
      <w:r>
        <w:rPr/>
        <w:t>our opinion, digital tax establishment should be understood as the place, through which the enterprise conducts its activities in general or in part, including the state or territory of the digital presence, in which the bulk of users and the place of receipt of the main income are concentrated.</w:t>
      </w:r>
    </w:p>
    <w:p>
      <w:pPr>
        <w:pStyle w:val="BodyText"/>
        <w:spacing w:line="360" w:lineRule="auto" w:before="124"/>
        <w:ind w:left="23" w:right="653" w:firstLine="710"/>
      </w:pPr>
      <w:r>
        <w:rPr/>
        <w:t>In the opinion of the author of this study, the effectiveness of the application of the provisions on permanent establishment will be facilitated by</w:t>
      </w:r>
      <w:r>
        <w:rPr>
          <w:spacing w:val="-4"/>
        </w:rPr>
        <w:t> </w:t>
      </w:r>
      <w:r>
        <w:rPr/>
        <w:t>the use of the “tax pegging” principle in connection with the profits of permanent establishment of foreign organizations registered in offshore jurisdictions, which will contribute to:</w:t>
      </w:r>
    </w:p>
    <w:p>
      <w:pPr>
        <w:pStyle w:val="BodyText"/>
        <w:spacing w:after="0" w:line="360" w:lineRule="auto"/>
        <w:sectPr>
          <w:pgSz w:w="11910" w:h="16840"/>
          <w:pgMar w:header="709" w:footer="695" w:top="1320" w:bottom="880" w:left="1417" w:right="1133"/>
        </w:sectPr>
      </w:pPr>
    </w:p>
    <w:p>
      <w:pPr>
        <w:pStyle w:val="ListParagraph"/>
        <w:numPr>
          <w:ilvl w:val="1"/>
          <w:numId w:val="7"/>
        </w:numPr>
        <w:tabs>
          <w:tab w:pos="2501" w:val="left" w:leader="none"/>
        </w:tabs>
        <w:spacing w:line="360" w:lineRule="auto" w:before="91" w:after="0"/>
        <w:ind w:left="1094" w:right="302" w:firstLine="706"/>
        <w:jc w:val="both"/>
        <w:rPr>
          <w:sz w:val="20"/>
        </w:rPr>
      </w:pPr>
      <w:r>
        <w:rPr>
          <w:sz w:val="20"/>
        </w:rPr>
        <w:t>eliminating the possibility of transferring taxable profits by transnational corporations to low tax jurisdictions by using the benefits and advantages, provided in connection with the acquisition of the status of a permanent establishment;</w:t>
      </w:r>
    </w:p>
    <w:p>
      <w:pPr>
        <w:pStyle w:val="ListParagraph"/>
        <w:numPr>
          <w:ilvl w:val="1"/>
          <w:numId w:val="7"/>
        </w:numPr>
        <w:tabs>
          <w:tab w:pos="2501" w:val="left" w:leader="none"/>
        </w:tabs>
        <w:spacing w:line="355" w:lineRule="auto" w:before="3" w:after="0"/>
        <w:ind w:left="1094" w:right="303" w:firstLine="706"/>
        <w:jc w:val="both"/>
        <w:rPr>
          <w:sz w:val="20"/>
        </w:rPr>
      </w:pPr>
      <w:r>
        <w:rPr>
          <w:sz w:val="20"/>
        </w:rPr>
        <w:t>expanding the tax base of permanent establishment of foreign organizations, registered in low tax jurisdictions.</w:t>
      </w:r>
    </w:p>
    <w:p>
      <w:pPr>
        <w:pStyle w:val="BodyText"/>
        <w:spacing w:line="360" w:lineRule="auto" w:before="125"/>
        <w:ind w:left="378" w:right="300" w:firstLine="710"/>
      </w:pPr>
      <w:r>
        <w:rPr/>
        <w:t>Regarding Russia's participation in the arbitration of international tax disputes, it should be noted that the state cannot completely isolate itself from international arbitration procedures in the modern conditions even if the relevant state has not included an arbitration clause in its tax treaties and has not accepted MLI BEPS obligations regarding tax arbitration.</w:t>
      </w:r>
    </w:p>
    <w:p>
      <w:pPr>
        <w:pStyle w:val="BodyText"/>
        <w:jc w:val="left"/>
      </w:pPr>
    </w:p>
    <w:p>
      <w:pPr>
        <w:pStyle w:val="BodyText"/>
        <w:spacing w:before="135"/>
        <w:jc w:val="left"/>
      </w:pPr>
    </w:p>
    <w:p>
      <w:pPr>
        <w:pStyle w:val="Heading1"/>
        <w:numPr>
          <w:ilvl w:val="0"/>
          <w:numId w:val="1"/>
        </w:numPr>
        <w:tabs>
          <w:tab w:pos="1449" w:val="left" w:leader="none"/>
        </w:tabs>
        <w:spacing w:line="240" w:lineRule="auto" w:before="0" w:after="0"/>
        <w:ind w:left="1449" w:right="0" w:hanging="595"/>
        <w:jc w:val="left"/>
      </w:pPr>
      <w:r>
        <w:rPr>
          <w:spacing w:val="-2"/>
        </w:rPr>
        <w:t>Conclusion</w:t>
      </w:r>
    </w:p>
    <w:p>
      <w:pPr>
        <w:pStyle w:val="BodyText"/>
        <w:spacing w:line="360" w:lineRule="auto" w:before="251"/>
        <w:ind w:left="378" w:right="294" w:firstLine="710"/>
      </w:pPr>
      <w:r>
        <w:rPr/>
        <w:t>Summing up the present study, it can be noted that the Multilateral Convention is a timely instrument, which has a very</w:t>
      </w:r>
      <w:r>
        <w:rPr>
          <w:spacing w:val="-2"/>
        </w:rPr>
        <w:t> </w:t>
      </w:r>
      <w:r>
        <w:rPr/>
        <w:t>ambitious goal to optimize of a large array of international agreements and to harmonize</w:t>
      </w:r>
      <w:r>
        <w:rPr>
          <w:spacing w:val="-3"/>
        </w:rPr>
        <w:t> </w:t>
      </w:r>
      <w:r>
        <w:rPr/>
        <w:t>them with international standards. However, since</w:t>
      </w:r>
      <w:r>
        <w:rPr>
          <w:spacing w:val="-3"/>
        </w:rPr>
        <w:t> </w:t>
      </w:r>
      <w:r>
        <w:rPr/>
        <w:t>it is</w:t>
      </w:r>
      <w:r>
        <w:rPr>
          <w:spacing w:val="-1"/>
        </w:rPr>
        <w:t> </w:t>
      </w:r>
      <w:r>
        <w:rPr/>
        <w:t>a document of soft force, which modifies the legislation of the countries that have ratified it, the issue of provisions applying depends on many</w:t>
      </w:r>
      <w:r>
        <w:rPr>
          <w:spacing w:val="40"/>
        </w:rPr>
        <w:t> </w:t>
      </w:r>
      <w:r>
        <w:rPr>
          <w:spacing w:val="-2"/>
        </w:rPr>
        <w:t>factors.</w:t>
      </w:r>
    </w:p>
    <w:p>
      <w:pPr>
        <w:pStyle w:val="BodyText"/>
        <w:spacing w:line="360" w:lineRule="auto" w:before="119"/>
        <w:ind w:left="378" w:right="296" w:firstLine="710"/>
      </w:pPr>
      <w:r>
        <w:rPr/>
        <w:t>The questions, posed in this study, require further theoretical and practical understanding. Lack of clear and understandable scientifically based rules for the coexistence and joint application of various protective mechanisms inside DTAA and also the rules that govern the joint and subsidiary application of the protective norms, contained in the national tax laws of the member states of DTAA to protect the provisions of DTAA from illegal use by taxpayers, will inevitably lead to a loss of controllability of this process, a violation of the balance of public and private interests and, as a result, to the loss of the main dignity and main purpose of the existence of tax law - the predictability of tax relations.</w:t>
      </w:r>
    </w:p>
    <w:p>
      <w:pPr>
        <w:pStyle w:val="BodyText"/>
        <w:jc w:val="left"/>
      </w:pPr>
    </w:p>
    <w:p>
      <w:pPr>
        <w:pStyle w:val="BodyText"/>
        <w:spacing w:before="131"/>
        <w:jc w:val="left"/>
      </w:pPr>
    </w:p>
    <w:p>
      <w:pPr>
        <w:pStyle w:val="Heading1"/>
        <w:spacing w:before="1"/>
        <w:ind w:left="378" w:firstLine="0"/>
      </w:pPr>
      <w:r>
        <w:rPr>
          <w:spacing w:val="-2"/>
        </w:rPr>
        <w:t>References</w:t>
      </w:r>
    </w:p>
    <w:p>
      <w:pPr>
        <w:pStyle w:val="ListParagraph"/>
        <w:numPr>
          <w:ilvl w:val="0"/>
          <w:numId w:val="8"/>
        </w:numPr>
        <w:tabs>
          <w:tab w:pos="1089" w:val="left" w:leader="none"/>
        </w:tabs>
        <w:spacing w:line="240" w:lineRule="auto" w:before="251" w:after="0"/>
        <w:ind w:left="1089" w:right="296" w:hanging="509"/>
        <w:jc w:val="both"/>
        <w:rPr>
          <w:sz w:val="20"/>
        </w:rPr>
      </w:pPr>
      <w:r>
        <w:rPr>
          <w:sz w:val="20"/>
        </w:rPr>
        <w:t>Altshuler, R. (2014). “OECD</w:t>
      </w:r>
      <w:r>
        <w:rPr>
          <w:spacing w:val="-3"/>
          <w:sz w:val="20"/>
        </w:rPr>
        <w:t> </w:t>
      </w:r>
      <w:r>
        <w:rPr>
          <w:sz w:val="20"/>
        </w:rPr>
        <w:t>-</w:t>
      </w:r>
      <w:r>
        <w:rPr>
          <w:spacing w:val="-2"/>
          <w:sz w:val="20"/>
        </w:rPr>
        <w:t> </w:t>
      </w:r>
      <w:r>
        <w:rPr>
          <w:sz w:val="20"/>
        </w:rPr>
        <w:t>Inter-Nation Competitiveness: A</w:t>
      </w:r>
      <w:r>
        <w:rPr>
          <w:spacing w:val="-3"/>
          <w:sz w:val="20"/>
        </w:rPr>
        <w:t> </w:t>
      </w:r>
      <w:r>
        <w:rPr>
          <w:sz w:val="20"/>
        </w:rPr>
        <w:t>Discussion Paper on Base</w:t>
      </w:r>
      <w:r>
        <w:rPr>
          <w:spacing w:val="-4"/>
          <w:sz w:val="20"/>
        </w:rPr>
        <w:t> </w:t>
      </w:r>
      <w:r>
        <w:rPr>
          <w:sz w:val="20"/>
        </w:rPr>
        <w:t>Erosion and Profit Shifting,” </w:t>
      </w:r>
      <w:r>
        <w:rPr>
          <w:i/>
          <w:sz w:val="20"/>
        </w:rPr>
        <w:t>Journals IBFD, Bulletin for International Taxation</w:t>
      </w:r>
      <w:r>
        <w:rPr>
          <w:sz w:val="20"/>
        </w:rPr>
        <w:t>, Vol. 68, No. 6/7,</w:t>
      </w:r>
      <w:r>
        <w:rPr>
          <w:spacing w:val="40"/>
          <w:sz w:val="20"/>
        </w:rPr>
        <w:t> </w:t>
      </w:r>
      <w:r>
        <w:rPr>
          <w:sz w:val="20"/>
        </w:rPr>
        <w:t>available at: </w:t>
      </w:r>
      <w:hyperlink r:id="rId10">
        <w:r>
          <w:rPr>
            <w:color w:val="0462C1"/>
            <w:sz w:val="20"/>
            <w:u w:val="single" w:color="0462C1"/>
          </w:rPr>
          <w:t>https://www.ibfd.org/IBFD-Products/Journal-Articles/Bulletin-for-International-</w:t>
        </w:r>
      </w:hyperlink>
      <w:hyperlink r:id="rId10">
        <w:r>
          <w:rPr>
            <w:color w:val="0462C1"/>
            <w:sz w:val="20"/>
            <w:u w:val="single" w:color="0462C1"/>
          </w:rPr>
          <w:t>Taxation/collections/bit/html/bit_2014_06_o2_11.html</w:t>
        </w:r>
      </w:hyperlink>
      <w:r>
        <w:rPr>
          <w:color w:val="0462C1"/>
          <w:sz w:val="20"/>
        </w:rPr>
        <w:t> </w:t>
      </w:r>
      <w:r>
        <w:rPr>
          <w:sz w:val="20"/>
        </w:rPr>
        <w:t>(accessed 27 March, 2020).</w:t>
      </w:r>
    </w:p>
    <w:p>
      <w:pPr>
        <w:pStyle w:val="ListParagraph"/>
        <w:numPr>
          <w:ilvl w:val="0"/>
          <w:numId w:val="8"/>
        </w:numPr>
        <w:tabs>
          <w:tab w:pos="1089" w:val="left" w:leader="none"/>
        </w:tabs>
        <w:spacing w:line="240" w:lineRule="auto" w:before="2" w:after="0"/>
        <w:ind w:left="1089" w:right="297" w:hanging="509"/>
        <w:jc w:val="both"/>
        <w:rPr>
          <w:sz w:val="20"/>
        </w:rPr>
      </w:pPr>
      <w:r>
        <w:rPr>
          <w:sz w:val="20"/>
        </w:rPr>
        <w:t>Maisto, J. (Ed.). (2019). </w:t>
      </w:r>
      <w:r>
        <w:rPr>
          <w:i/>
          <w:sz w:val="20"/>
        </w:rPr>
        <w:t>New Trends in the Definition of Permanent Establishment</w:t>
      </w:r>
      <w:r>
        <w:rPr>
          <w:sz w:val="20"/>
        </w:rPr>
        <w:t>. The EC and International Tax Law Series, Vol. 17. ISBN: 978-90-8722-552-0.</w:t>
      </w:r>
    </w:p>
    <w:p>
      <w:pPr>
        <w:pStyle w:val="ListParagraph"/>
        <w:numPr>
          <w:ilvl w:val="0"/>
          <w:numId w:val="8"/>
        </w:numPr>
        <w:tabs>
          <w:tab w:pos="1089" w:val="left" w:leader="none"/>
        </w:tabs>
        <w:spacing w:line="240" w:lineRule="auto" w:before="1" w:after="0"/>
        <w:ind w:left="1089" w:right="295" w:hanging="509"/>
        <w:jc w:val="left"/>
        <w:rPr>
          <w:sz w:val="20"/>
        </w:rPr>
      </w:pPr>
      <w:r>
        <w:rPr>
          <w:sz w:val="20"/>
        </w:rPr>
        <w:t>Austry,</w:t>
      </w:r>
      <w:r>
        <w:rPr>
          <w:spacing w:val="39"/>
          <w:sz w:val="20"/>
        </w:rPr>
        <w:t> </w:t>
      </w:r>
      <w:r>
        <w:rPr>
          <w:sz w:val="20"/>
        </w:rPr>
        <w:t>S.,</w:t>
      </w:r>
      <w:r>
        <w:rPr>
          <w:spacing w:val="39"/>
          <w:sz w:val="20"/>
        </w:rPr>
        <w:t> </w:t>
      </w:r>
      <w:r>
        <w:rPr>
          <w:sz w:val="20"/>
        </w:rPr>
        <w:t>Jones</w:t>
      </w:r>
      <w:r>
        <w:rPr>
          <w:spacing w:val="35"/>
          <w:sz w:val="20"/>
        </w:rPr>
        <w:t> </w:t>
      </w:r>
      <w:r>
        <w:rPr>
          <w:sz w:val="20"/>
        </w:rPr>
        <w:t>J.F.A.,</w:t>
      </w:r>
      <w:r>
        <w:rPr>
          <w:spacing w:val="34"/>
          <w:sz w:val="20"/>
        </w:rPr>
        <w:t> </w:t>
      </w:r>
      <w:r>
        <w:rPr>
          <w:sz w:val="20"/>
        </w:rPr>
        <w:t>Baker,</w:t>
      </w:r>
      <w:r>
        <w:rPr>
          <w:spacing w:val="39"/>
          <w:sz w:val="20"/>
        </w:rPr>
        <w:t> </w:t>
      </w:r>
      <w:r>
        <w:rPr>
          <w:sz w:val="20"/>
        </w:rPr>
        <w:t>P.,</w:t>
      </w:r>
      <w:r>
        <w:rPr>
          <w:spacing w:val="34"/>
          <w:sz w:val="20"/>
        </w:rPr>
        <w:t> </w:t>
      </w:r>
      <w:r>
        <w:rPr>
          <w:sz w:val="20"/>
        </w:rPr>
        <w:t>Blessing,</w:t>
      </w:r>
      <w:r>
        <w:rPr>
          <w:spacing w:val="39"/>
          <w:sz w:val="20"/>
        </w:rPr>
        <w:t> </w:t>
      </w:r>
      <w:r>
        <w:rPr>
          <w:sz w:val="20"/>
        </w:rPr>
        <w:t>P.H.,</w:t>
      </w:r>
      <w:r>
        <w:rPr>
          <w:spacing w:val="34"/>
          <w:sz w:val="20"/>
        </w:rPr>
        <w:t> </w:t>
      </w:r>
      <w:r>
        <w:rPr>
          <w:sz w:val="20"/>
        </w:rPr>
        <w:t>Danon,</w:t>
      </w:r>
      <w:r>
        <w:rPr>
          <w:spacing w:val="39"/>
          <w:sz w:val="20"/>
        </w:rPr>
        <w:t> </w:t>
      </w:r>
      <w:r>
        <w:rPr>
          <w:sz w:val="20"/>
        </w:rPr>
        <w:t>R.J.,</w:t>
      </w:r>
      <w:r>
        <w:rPr>
          <w:spacing w:val="39"/>
          <w:sz w:val="20"/>
        </w:rPr>
        <w:t> </w:t>
      </w:r>
      <w:r>
        <w:rPr>
          <w:sz w:val="20"/>
        </w:rPr>
        <w:t>Goradia,</w:t>
      </w:r>
      <w:r>
        <w:rPr>
          <w:spacing w:val="39"/>
          <w:sz w:val="20"/>
        </w:rPr>
        <w:t> </w:t>
      </w:r>
      <w:r>
        <w:rPr>
          <w:sz w:val="20"/>
        </w:rPr>
        <w:t>S.,</w:t>
      </w:r>
      <w:r>
        <w:rPr>
          <w:spacing w:val="39"/>
          <w:sz w:val="20"/>
        </w:rPr>
        <w:t> </w:t>
      </w:r>
      <w:r>
        <w:rPr>
          <w:sz w:val="20"/>
        </w:rPr>
        <w:t>Inoue,</w:t>
      </w:r>
      <w:r>
        <w:rPr>
          <w:spacing w:val="39"/>
          <w:sz w:val="20"/>
        </w:rPr>
        <w:t> </w:t>
      </w:r>
      <w:r>
        <w:rPr>
          <w:sz w:val="20"/>
        </w:rPr>
        <w:t>K….</w:t>
      </w:r>
      <w:r>
        <w:rPr>
          <w:spacing w:val="34"/>
          <w:sz w:val="20"/>
        </w:rPr>
        <w:t> </w:t>
      </w:r>
      <w:r>
        <w:rPr>
          <w:sz w:val="20"/>
        </w:rPr>
        <w:t>and Wiman, B. (2016). “The proposed OECD multilateral instrument amending tax treaties”, </w:t>
      </w:r>
      <w:r>
        <w:rPr>
          <w:i/>
          <w:sz w:val="20"/>
        </w:rPr>
        <w:t>Journals IBFD,</w:t>
      </w:r>
      <w:r>
        <w:rPr>
          <w:i/>
          <w:spacing w:val="80"/>
          <w:sz w:val="20"/>
        </w:rPr>
        <w:t> </w:t>
      </w:r>
      <w:r>
        <w:rPr>
          <w:i/>
          <w:sz w:val="20"/>
        </w:rPr>
        <w:t>Bulletin</w:t>
      </w:r>
      <w:r>
        <w:rPr>
          <w:i/>
          <w:spacing w:val="80"/>
          <w:sz w:val="20"/>
        </w:rPr>
        <w:t> </w:t>
      </w:r>
      <w:r>
        <w:rPr>
          <w:i/>
          <w:sz w:val="20"/>
        </w:rPr>
        <w:t>for</w:t>
      </w:r>
      <w:r>
        <w:rPr>
          <w:i/>
          <w:spacing w:val="80"/>
          <w:sz w:val="20"/>
        </w:rPr>
        <w:t> </w:t>
      </w:r>
      <w:r>
        <w:rPr>
          <w:i/>
          <w:sz w:val="20"/>
        </w:rPr>
        <w:t>International</w:t>
      </w:r>
      <w:r>
        <w:rPr>
          <w:i/>
          <w:spacing w:val="80"/>
          <w:sz w:val="20"/>
        </w:rPr>
        <w:t> </w:t>
      </w:r>
      <w:r>
        <w:rPr>
          <w:i/>
          <w:sz w:val="20"/>
        </w:rPr>
        <w:t>Taxation</w:t>
      </w:r>
      <w:r>
        <w:rPr>
          <w:sz w:val="20"/>
        </w:rPr>
        <w:t>.</w:t>
      </w:r>
      <w:r>
        <w:rPr>
          <w:spacing w:val="80"/>
          <w:sz w:val="20"/>
        </w:rPr>
        <w:t> </w:t>
      </w:r>
      <w:r>
        <w:rPr>
          <w:sz w:val="20"/>
        </w:rPr>
        <w:t>Vol.</w:t>
      </w:r>
      <w:r>
        <w:rPr>
          <w:spacing w:val="80"/>
          <w:sz w:val="20"/>
        </w:rPr>
        <w:t> </w:t>
      </w:r>
      <w:r>
        <w:rPr>
          <w:sz w:val="20"/>
        </w:rPr>
        <w:t>70,</w:t>
      </w:r>
      <w:r>
        <w:rPr>
          <w:spacing w:val="80"/>
          <w:sz w:val="20"/>
        </w:rPr>
        <w:t> </w:t>
      </w:r>
      <w:r>
        <w:rPr>
          <w:sz w:val="20"/>
        </w:rPr>
        <w:t>No.</w:t>
      </w:r>
      <w:r>
        <w:rPr>
          <w:spacing w:val="80"/>
          <w:sz w:val="20"/>
        </w:rPr>
        <w:t> </w:t>
      </w:r>
      <w:r>
        <w:rPr>
          <w:sz w:val="20"/>
        </w:rPr>
        <w:t>12,</w:t>
      </w:r>
      <w:r>
        <w:rPr>
          <w:spacing w:val="80"/>
          <w:sz w:val="20"/>
        </w:rPr>
        <w:t> </w:t>
      </w:r>
      <w:r>
        <w:rPr>
          <w:sz w:val="20"/>
        </w:rPr>
        <w:t>pp.</w:t>
      </w:r>
      <w:r>
        <w:rPr>
          <w:spacing w:val="80"/>
          <w:sz w:val="20"/>
        </w:rPr>
        <w:t> </w:t>
      </w:r>
      <w:r>
        <w:rPr>
          <w:sz w:val="20"/>
        </w:rPr>
        <w:t>683-689,</w:t>
      </w:r>
      <w:r>
        <w:rPr>
          <w:spacing w:val="80"/>
          <w:sz w:val="20"/>
        </w:rPr>
        <w:t> </w:t>
      </w:r>
      <w:r>
        <w:rPr>
          <w:sz w:val="20"/>
        </w:rPr>
        <w:t>available</w:t>
      </w:r>
      <w:r>
        <w:rPr>
          <w:spacing w:val="80"/>
          <w:sz w:val="20"/>
        </w:rPr>
        <w:t> </w:t>
      </w:r>
      <w:r>
        <w:rPr>
          <w:sz w:val="20"/>
        </w:rPr>
        <w:t>at: </w:t>
      </w:r>
      <w:hyperlink r:id="rId11">
        <w:r>
          <w:rPr>
            <w:color w:val="0462C1"/>
            <w:sz w:val="20"/>
            <w:u w:val="single" w:color="0462C1"/>
          </w:rPr>
          <w:t>https://www.ibfd.org/IBFD-Products/Journal-Articles/Bulletin-for-International-</w:t>
        </w:r>
      </w:hyperlink>
      <w:hyperlink r:id="rId11">
        <w:r>
          <w:rPr>
            <w:color w:val="0462C1"/>
            <w:sz w:val="20"/>
            <w:u w:val="single" w:color="0462C1"/>
          </w:rPr>
          <w:t>Taxation/collections/bit/html/bit_2016_12_o2_1.html</w:t>
        </w:r>
      </w:hyperlink>
      <w:r>
        <w:rPr>
          <w:color w:val="0462C1"/>
          <w:sz w:val="20"/>
        </w:rPr>
        <w:t> </w:t>
      </w:r>
      <w:r>
        <w:rPr>
          <w:sz w:val="20"/>
        </w:rPr>
        <w:t>(accessed 27 March, 2020).</w:t>
      </w:r>
    </w:p>
    <w:p>
      <w:pPr>
        <w:pStyle w:val="ListParagraph"/>
        <w:numPr>
          <w:ilvl w:val="0"/>
          <w:numId w:val="8"/>
        </w:numPr>
        <w:tabs>
          <w:tab w:pos="1089" w:val="left" w:leader="none"/>
        </w:tabs>
        <w:spacing w:line="235" w:lineRule="auto" w:before="6" w:after="0"/>
        <w:ind w:left="1089" w:right="301" w:hanging="509"/>
        <w:jc w:val="both"/>
        <w:rPr>
          <w:sz w:val="20"/>
        </w:rPr>
      </w:pPr>
      <w:r>
        <w:rPr>
          <w:sz w:val="20"/>
        </w:rPr>
        <w:t>Bank of Russia. (2019). External Sector Statistics, available at: </w:t>
      </w:r>
      <w:hyperlink r:id="rId12">
        <w:r>
          <w:rPr>
            <w:color w:val="0462C1"/>
            <w:sz w:val="20"/>
            <w:u w:val="single" w:color="0462C1"/>
          </w:rPr>
          <w:t>https://www.cbr.ru/eng/statistics/macro_itm/svs/</w:t>
        </w:r>
      </w:hyperlink>
      <w:r>
        <w:rPr>
          <w:color w:val="0462C1"/>
          <w:sz w:val="20"/>
        </w:rPr>
        <w:t> </w:t>
      </w:r>
      <w:r>
        <w:rPr>
          <w:sz w:val="20"/>
        </w:rPr>
        <w:t>(accessed 27 March, 2020).</w:t>
      </w:r>
    </w:p>
    <w:p>
      <w:pPr>
        <w:pStyle w:val="ListParagraph"/>
        <w:numPr>
          <w:ilvl w:val="0"/>
          <w:numId w:val="8"/>
        </w:numPr>
        <w:tabs>
          <w:tab w:pos="1089" w:val="left" w:leader="none"/>
        </w:tabs>
        <w:spacing w:line="240" w:lineRule="auto" w:before="1" w:after="0"/>
        <w:ind w:left="1089" w:right="296" w:hanging="509"/>
        <w:jc w:val="both"/>
        <w:rPr>
          <w:sz w:val="20"/>
        </w:rPr>
      </w:pPr>
      <w:r>
        <w:rPr>
          <w:sz w:val="20"/>
        </w:rPr>
        <w:t>Bershidsky, L. (2019). Where Russia’s Foreign Investment Really Comes From. Bloomberg Opinion, available at: </w:t>
      </w:r>
      <w:hyperlink r:id="rId13">
        <w:r>
          <w:rPr>
            <w:color w:val="0462C1"/>
            <w:sz w:val="20"/>
            <w:u w:val="single" w:color="0462C1"/>
          </w:rPr>
          <w:t>https://www.bloomberg.com/opinion/articles/2019-11-06/where-russia-s-</w:t>
        </w:r>
      </w:hyperlink>
      <w:hyperlink r:id="rId13">
        <w:r>
          <w:rPr>
            <w:color w:val="0462C1"/>
            <w:sz w:val="20"/>
            <w:u w:val="single" w:color="0462C1"/>
          </w:rPr>
          <w:t>foreign-investment-really-comes-from</w:t>
        </w:r>
      </w:hyperlink>
      <w:r>
        <w:rPr>
          <w:color w:val="0462C1"/>
          <w:sz w:val="20"/>
        </w:rPr>
        <w:t> </w:t>
      </w:r>
      <w:r>
        <w:rPr>
          <w:sz w:val="20"/>
        </w:rPr>
        <w:t>(accessed 27 March, 2020).</w:t>
      </w:r>
    </w:p>
    <w:p>
      <w:pPr>
        <w:pStyle w:val="ListParagraph"/>
        <w:spacing w:after="0" w:line="240" w:lineRule="auto"/>
        <w:jc w:val="both"/>
        <w:rPr>
          <w:sz w:val="20"/>
        </w:rPr>
        <w:sectPr>
          <w:pgSz w:w="11910" w:h="16840"/>
          <w:pgMar w:header="709" w:footer="695" w:top="1320" w:bottom="880" w:left="1417" w:right="1133"/>
        </w:sectPr>
      </w:pPr>
    </w:p>
    <w:p>
      <w:pPr>
        <w:pStyle w:val="ListParagraph"/>
        <w:numPr>
          <w:ilvl w:val="0"/>
          <w:numId w:val="8"/>
        </w:numPr>
        <w:tabs>
          <w:tab w:pos="734" w:val="left" w:leader="none"/>
        </w:tabs>
        <w:spacing w:line="240" w:lineRule="auto" w:before="91" w:after="0"/>
        <w:ind w:left="734" w:right="654" w:hanging="510"/>
        <w:jc w:val="both"/>
        <w:rPr>
          <w:sz w:val="20"/>
        </w:rPr>
      </w:pPr>
      <w:r>
        <w:rPr>
          <w:sz w:val="20"/>
        </w:rPr>
        <w:t>Bykov, S and Frotscher, G. (2016). “Anti-Avoidance Rules in Russian and Germa Tax law: the Comparison of Collision Resolution Practices,” </w:t>
      </w:r>
      <w:r>
        <w:rPr>
          <w:i/>
          <w:sz w:val="20"/>
        </w:rPr>
        <w:t>Journal of Tax Reform. </w:t>
      </w:r>
      <w:r>
        <w:rPr>
          <w:sz w:val="20"/>
        </w:rPr>
        <w:t>Vol. 2, No. 1, pp. 59-84. DOI: 10.15826/jtr.2016.2.1.017</w:t>
      </w:r>
    </w:p>
    <w:p>
      <w:pPr>
        <w:pStyle w:val="ListParagraph"/>
        <w:numPr>
          <w:ilvl w:val="0"/>
          <w:numId w:val="8"/>
        </w:numPr>
        <w:tabs>
          <w:tab w:pos="734" w:val="left" w:leader="none"/>
        </w:tabs>
        <w:spacing w:line="240" w:lineRule="auto" w:before="2" w:after="0"/>
        <w:ind w:left="734" w:right="659" w:hanging="510"/>
        <w:jc w:val="both"/>
        <w:rPr>
          <w:sz w:val="20"/>
        </w:rPr>
      </w:pPr>
      <w:r>
        <w:rPr>
          <w:sz w:val="20"/>
        </w:rPr>
        <w:t>Chepyzhova, A.V., Pravdina, E.A., Lepikhina, O.Yu. (2019). “Comparative evaluation of the effectiveness of the laser scanning and aerial photography systems using unmanned aerial vehicles”, Journal of Physics: Conference Series, Vol.1333. P. 032064. </w:t>
      </w:r>
      <w:hyperlink r:id="rId14">
        <w:r>
          <w:rPr>
            <w:spacing w:val="-2"/>
            <w:sz w:val="20"/>
          </w:rPr>
          <w:t>https://doi.org/10.1088/1742-6596/1333/3/032064</w:t>
        </w:r>
      </w:hyperlink>
      <w:r>
        <w:rPr>
          <w:spacing w:val="-2"/>
          <w:sz w:val="20"/>
        </w:rPr>
        <w:t>.</w:t>
      </w:r>
    </w:p>
    <w:p>
      <w:pPr>
        <w:pStyle w:val="ListParagraph"/>
        <w:numPr>
          <w:ilvl w:val="0"/>
          <w:numId w:val="8"/>
        </w:numPr>
        <w:tabs>
          <w:tab w:pos="734" w:val="left" w:leader="none"/>
        </w:tabs>
        <w:spacing w:line="240" w:lineRule="auto" w:before="0" w:after="0"/>
        <w:ind w:left="734" w:right="651" w:hanging="510"/>
        <w:jc w:val="both"/>
        <w:rPr>
          <w:sz w:val="20"/>
        </w:rPr>
      </w:pPr>
      <w:r>
        <w:rPr>
          <w:sz w:val="20"/>
        </w:rPr>
        <w:t>Christians, A. (2009). “Sovereignty, Taxation, and Social Contract”, </w:t>
      </w:r>
      <w:r>
        <w:rPr>
          <w:i/>
          <w:sz w:val="20"/>
        </w:rPr>
        <w:t>Minnesota Journal of International Law</w:t>
      </w:r>
      <w:r>
        <w:rPr>
          <w:sz w:val="20"/>
        </w:rPr>
        <w:t>, Vol. 18, available at: </w:t>
      </w:r>
      <w:hyperlink r:id="rId15">
        <w:r>
          <w:rPr>
            <w:color w:val="0462C1"/>
            <w:sz w:val="20"/>
            <w:u w:val="single" w:color="0462C1"/>
          </w:rPr>
          <w:t>http://minnjil.org/wp-content/uploads/2015/11/Allison-</w:t>
        </w:r>
      </w:hyperlink>
      <w:hyperlink r:id="rId15">
        <w:r>
          <w:rPr>
            <w:color w:val="0462C1"/>
            <w:sz w:val="20"/>
            <w:u w:val="single" w:color="0462C1"/>
          </w:rPr>
          <w:t>Christians_-Sovereignty-Taxation-and-Social-Contract.pdf</w:t>
        </w:r>
      </w:hyperlink>
      <w:r>
        <w:rPr>
          <w:color w:val="0462C1"/>
          <w:spacing w:val="40"/>
          <w:sz w:val="20"/>
        </w:rPr>
        <w:t> </w:t>
      </w:r>
      <w:r>
        <w:rPr>
          <w:sz w:val="20"/>
        </w:rPr>
        <w:t>(accessed 27 March, 2020).</w:t>
      </w:r>
    </w:p>
    <w:p>
      <w:pPr>
        <w:pStyle w:val="ListParagraph"/>
        <w:numPr>
          <w:ilvl w:val="0"/>
          <w:numId w:val="8"/>
        </w:numPr>
        <w:tabs>
          <w:tab w:pos="734" w:val="left" w:leader="none"/>
        </w:tabs>
        <w:spacing w:line="240" w:lineRule="auto" w:before="0" w:after="0"/>
        <w:ind w:left="734" w:right="653" w:hanging="510"/>
        <w:jc w:val="both"/>
        <w:rPr>
          <w:sz w:val="20"/>
        </w:rPr>
      </w:pPr>
      <w:r>
        <w:rPr>
          <w:sz w:val="20"/>
        </w:rPr>
        <w:t>Danone and Salome. (2017). Danone and Salome News Letter “The signature of the Multilateral BEPS Convention. A first critical look and overview around the globe”, 14 June 2017.</w:t>
      </w:r>
    </w:p>
    <w:p>
      <w:pPr>
        <w:pStyle w:val="ListParagraph"/>
        <w:numPr>
          <w:ilvl w:val="0"/>
          <w:numId w:val="8"/>
        </w:numPr>
        <w:tabs>
          <w:tab w:pos="734" w:val="left" w:leader="none"/>
        </w:tabs>
        <w:spacing w:line="240" w:lineRule="auto" w:before="0" w:after="0"/>
        <w:ind w:left="734" w:right="670" w:hanging="611"/>
        <w:jc w:val="both"/>
        <w:rPr>
          <w:sz w:val="20"/>
        </w:rPr>
      </w:pPr>
      <w:r>
        <w:rPr>
          <w:sz w:val="20"/>
        </w:rPr>
        <w:t>Dzhevaga NV, Lobacheva OL. Analysis of the mixture of rare elements by</w:t>
      </w:r>
      <w:r>
        <w:rPr>
          <w:spacing w:val="-5"/>
          <w:sz w:val="20"/>
        </w:rPr>
        <w:t> </w:t>
      </w:r>
      <w:r>
        <w:rPr>
          <w:sz w:val="20"/>
        </w:rPr>
        <w:t>atomic spectroscopy. J Phys: Conf Ser 2019; 1384: 1 – 10. https://doi:10.1088/1742-6596/1384/1/012008</w:t>
      </w:r>
    </w:p>
    <w:p>
      <w:pPr>
        <w:pStyle w:val="ListParagraph"/>
        <w:numPr>
          <w:ilvl w:val="0"/>
          <w:numId w:val="8"/>
        </w:numPr>
        <w:tabs>
          <w:tab w:pos="734" w:val="left" w:leader="none"/>
        </w:tabs>
        <w:spacing w:line="240" w:lineRule="auto" w:before="0" w:after="0"/>
        <w:ind w:left="734" w:right="654" w:hanging="611"/>
        <w:jc w:val="both"/>
        <w:rPr>
          <w:sz w:val="20"/>
        </w:rPr>
      </w:pPr>
      <w:r>
        <w:rPr>
          <w:sz w:val="20"/>
        </w:rPr>
        <w:t>Federal Law N 79-FZ. (2019).</w:t>
      </w:r>
      <w:r>
        <w:rPr>
          <w:spacing w:val="40"/>
          <w:sz w:val="20"/>
        </w:rPr>
        <w:t> </w:t>
      </w:r>
      <w:r>
        <w:rPr>
          <w:sz w:val="20"/>
        </w:rPr>
        <w:t>“On the ratification of the multilateral Convention on the implementation of measures related to tax agreements in order to counter the erosion of the tax</w:t>
      </w:r>
      <w:r>
        <w:rPr>
          <w:spacing w:val="40"/>
          <w:sz w:val="20"/>
        </w:rPr>
        <w:t> </w:t>
      </w:r>
      <w:r>
        <w:rPr>
          <w:sz w:val="20"/>
        </w:rPr>
        <w:t>base and the removal of profits from taxation”, Signed on 01 May 2019, Moscow, Russia,</w:t>
      </w:r>
      <w:r>
        <w:rPr>
          <w:spacing w:val="80"/>
          <w:sz w:val="20"/>
        </w:rPr>
        <w:t> </w:t>
      </w:r>
      <w:r>
        <w:rPr>
          <w:sz w:val="20"/>
        </w:rPr>
        <w:t>available at: </w:t>
      </w:r>
      <w:hyperlink r:id="rId16">
        <w:r>
          <w:rPr>
            <w:color w:val="0462C1"/>
            <w:sz w:val="20"/>
            <w:u w:val="single" w:color="0462C1"/>
          </w:rPr>
          <w:t>http://publication.pravo.gov.ru/Document/Text/0001201905010022</w:t>
        </w:r>
      </w:hyperlink>
      <w:r>
        <w:rPr>
          <w:color w:val="0462C1"/>
          <w:sz w:val="20"/>
        </w:rPr>
        <w:t> </w:t>
      </w:r>
      <w:r>
        <w:rPr>
          <w:sz w:val="20"/>
        </w:rPr>
        <w:t>(accessed 27 March, 2020).</w:t>
      </w:r>
    </w:p>
    <w:p>
      <w:pPr>
        <w:pStyle w:val="ListParagraph"/>
        <w:numPr>
          <w:ilvl w:val="0"/>
          <w:numId w:val="8"/>
        </w:numPr>
        <w:tabs>
          <w:tab w:pos="734" w:val="left" w:leader="none"/>
        </w:tabs>
        <w:spacing w:line="240" w:lineRule="auto" w:before="0" w:after="0"/>
        <w:ind w:left="734" w:right="657" w:hanging="611"/>
        <w:jc w:val="both"/>
        <w:rPr>
          <w:sz w:val="20"/>
        </w:rPr>
      </w:pPr>
      <w:r>
        <w:rPr>
          <w:sz w:val="20"/>
        </w:rPr>
        <w:t>Ivanov, A.E. (2019). “Protection of Taxpayer's Rights under Double Taxation Conventions within the Framework of the Tax Arbitration Procedure (on the Example of the OECD Multilateral Convention)”, </w:t>
      </w:r>
      <w:r>
        <w:rPr>
          <w:i/>
          <w:sz w:val="20"/>
        </w:rPr>
        <w:t>Financial Law</w:t>
      </w:r>
      <w:r>
        <w:rPr>
          <w:sz w:val="20"/>
        </w:rPr>
        <w:t>, Vol. 11, pp. 44-46.</w:t>
      </w:r>
    </w:p>
    <w:p>
      <w:pPr>
        <w:pStyle w:val="ListParagraph"/>
        <w:numPr>
          <w:ilvl w:val="0"/>
          <w:numId w:val="8"/>
        </w:numPr>
        <w:tabs>
          <w:tab w:pos="734" w:val="left" w:leader="none"/>
        </w:tabs>
        <w:spacing w:line="240" w:lineRule="auto" w:before="0" w:after="0"/>
        <w:ind w:left="734" w:right="655" w:hanging="611"/>
        <w:jc w:val="both"/>
        <w:rPr>
          <w:sz w:val="20"/>
        </w:rPr>
      </w:pPr>
      <w:r>
        <w:rPr>
          <w:sz w:val="20"/>
        </w:rPr>
        <w:t>Kleist, D. (2018). “The Multilateral Convention to Implement Tax Treaty Related Measures to Prevent BEPS – Some</w:t>
      </w:r>
      <w:r>
        <w:rPr>
          <w:spacing w:val="-1"/>
          <w:sz w:val="20"/>
        </w:rPr>
        <w:t> </w:t>
      </w:r>
      <w:r>
        <w:rPr>
          <w:sz w:val="20"/>
        </w:rPr>
        <w:t>Thoughts on Complexity</w:t>
      </w:r>
      <w:r>
        <w:rPr>
          <w:spacing w:val="-3"/>
          <w:sz w:val="20"/>
        </w:rPr>
        <w:t> </w:t>
      </w:r>
      <w:r>
        <w:rPr>
          <w:sz w:val="20"/>
        </w:rPr>
        <w:t>and Uncertainty,” </w:t>
      </w:r>
      <w:r>
        <w:rPr>
          <w:i/>
          <w:sz w:val="20"/>
        </w:rPr>
        <w:t>Nordic Tax Journal</w:t>
      </w:r>
      <w:r>
        <w:rPr>
          <w:sz w:val="20"/>
        </w:rPr>
        <w:t>. Vol. 2018, No. 1. </w:t>
      </w:r>
      <w:hyperlink r:id="rId17">
        <w:r>
          <w:rPr>
            <w:color w:val="0462C1"/>
            <w:sz w:val="20"/>
            <w:u w:val="single" w:color="0462C1"/>
          </w:rPr>
          <w:t>https://doi.org/10.1515/ntaxj-2018-0001</w:t>
        </w:r>
      </w:hyperlink>
    </w:p>
    <w:p>
      <w:pPr>
        <w:pStyle w:val="ListParagraph"/>
        <w:numPr>
          <w:ilvl w:val="0"/>
          <w:numId w:val="8"/>
        </w:numPr>
        <w:tabs>
          <w:tab w:pos="734" w:val="left" w:leader="none"/>
        </w:tabs>
        <w:spacing w:line="240" w:lineRule="auto" w:before="1" w:after="0"/>
        <w:ind w:left="734" w:right="655" w:hanging="611"/>
        <w:jc w:val="both"/>
        <w:rPr>
          <w:sz w:val="20"/>
        </w:rPr>
      </w:pPr>
      <w:r>
        <w:rPr>
          <w:sz w:val="20"/>
        </w:rPr>
        <w:t>Koren’, A.V. (2010). </w:t>
      </w:r>
      <w:r>
        <w:rPr>
          <w:i/>
          <w:sz w:val="20"/>
        </w:rPr>
        <w:t>Taxation of e-commerce entities: problems and prospects</w:t>
      </w:r>
      <w:r>
        <w:rPr>
          <w:sz w:val="20"/>
        </w:rPr>
        <w:t>. Vladivostok State University of Economics and Service Publ., Vladivostok. ISBN: 978-5-9736-0205-5.</w:t>
      </w:r>
    </w:p>
    <w:p>
      <w:pPr>
        <w:pStyle w:val="ListParagraph"/>
        <w:numPr>
          <w:ilvl w:val="0"/>
          <w:numId w:val="8"/>
        </w:numPr>
        <w:tabs>
          <w:tab w:pos="734" w:val="left" w:leader="none"/>
        </w:tabs>
        <w:spacing w:line="237" w:lineRule="auto" w:before="2" w:after="0"/>
        <w:ind w:left="734" w:right="651" w:hanging="611"/>
        <w:jc w:val="both"/>
        <w:rPr>
          <w:sz w:val="20"/>
        </w:rPr>
      </w:pPr>
      <w:r>
        <w:rPr>
          <w:sz w:val="20"/>
        </w:rPr>
        <w:t>Korving, J. and Hulten of Deloitte, L. (2018). “MLI: Testing the ‘principal purpose’,” </w:t>
      </w:r>
      <w:r>
        <w:rPr>
          <w:i/>
          <w:sz w:val="20"/>
        </w:rPr>
        <w:t>ITR Correspondent</w:t>
      </w:r>
      <w:r>
        <w:rPr>
          <w:sz w:val="20"/>
        </w:rPr>
        <w:t>, available at: </w:t>
      </w:r>
      <w:hyperlink r:id="rId18">
        <w:r>
          <w:rPr>
            <w:color w:val="0462C1"/>
            <w:sz w:val="20"/>
            <w:u w:val="single" w:color="0462C1"/>
          </w:rPr>
          <w:t>https://www.internationaltaxreview.com/article/b1f7n2f6tqcfyx/mli-</w:t>
        </w:r>
      </w:hyperlink>
      <w:hyperlink r:id="rId18">
        <w:r>
          <w:rPr>
            <w:color w:val="0462C1"/>
            <w:sz w:val="20"/>
            <w:u w:val="single" w:color="0462C1"/>
          </w:rPr>
          <w:t>testing-the-principal-purpose</w:t>
        </w:r>
      </w:hyperlink>
      <w:r>
        <w:rPr>
          <w:color w:val="0462C1"/>
          <w:sz w:val="20"/>
        </w:rPr>
        <w:t> </w:t>
      </w:r>
      <w:r>
        <w:rPr>
          <w:sz w:val="20"/>
        </w:rPr>
        <w:t>(accessed 27 March 2020).</w:t>
      </w:r>
    </w:p>
    <w:p>
      <w:pPr>
        <w:pStyle w:val="ListParagraph"/>
        <w:numPr>
          <w:ilvl w:val="0"/>
          <w:numId w:val="8"/>
        </w:numPr>
        <w:tabs>
          <w:tab w:pos="734" w:val="left" w:leader="none"/>
        </w:tabs>
        <w:spacing w:line="240" w:lineRule="auto" w:before="2" w:after="0"/>
        <w:ind w:left="734" w:right="658" w:hanging="611"/>
        <w:jc w:val="both"/>
        <w:rPr>
          <w:sz w:val="20"/>
        </w:rPr>
      </w:pPr>
      <w:r>
        <w:rPr>
          <w:sz w:val="20"/>
        </w:rPr>
        <w:t>Lepikhina, O.Yu., Skachkova, M.E., Mihaelyan, T.A. (2018). “Ranking of options of real estate</w:t>
      </w:r>
      <w:r>
        <w:rPr>
          <w:spacing w:val="40"/>
          <w:sz w:val="20"/>
        </w:rPr>
        <w:t> </w:t>
      </w:r>
      <w:r>
        <w:rPr>
          <w:sz w:val="20"/>
        </w:rPr>
        <w:t>use by expert assessments mathematical processing”, Journal of Physics: Conference Series, Vol.1015. P. 032084. </w:t>
      </w:r>
      <w:hyperlink r:id="rId19">
        <w:r>
          <w:rPr>
            <w:sz w:val="20"/>
          </w:rPr>
          <w:t>https://doi.org/10.1088/1742-6596/1015/3/032084</w:t>
        </w:r>
      </w:hyperlink>
    </w:p>
    <w:p>
      <w:pPr>
        <w:pStyle w:val="ListParagraph"/>
        <w:numPr>
          <w:ilvl w:val="0"/>
          <w:numId w:val="8"/>
        </w:numPr>
        <w:tabs>
          <w:tab w:pos="734" w:val="left" w:leader="none"/>
        </w:tabs>
        <w:spacing w:line="240" w:lineRule="auto" w:before="2" w:after="0"/>
        <w:ind w:left="734" w:right="653" w:hanging="611"/>
        <w:jc w:val="both"/>
        <w:rPr>
          <w:color w:val="0462C1"/>
          <w:sz w:val="20"/>
        </w:rPr>
      </w:pPr>
      <w:r>
        <w:rPr>
          <w:sz w:val="20"/>
        </w:rPr>
        <w:t>Luzgina, A. (2017). “Problems of corruption and tax evasion in construction sector in Belarus,” </w:t>
      </w:r>
      <w:r>
        <w:rPr>
          <w:i/>
          <w:sz w:val="20"/>
        </w:rPr>
        <w:t>Entrepreneurship and Sustainability</w:t>
      </w:r>
      <w:r>
        <w:rPr>
          <w:sz w:val="20"/>
        </w:rPr>
        <w:t>, Vol. 5, No. 2, pp. 263-282. </w:t>
      </w:r>
      <w:hyperlink r:id="rId20">
        <w:r>
          <w:rPr>
            <w:color w:val="0462C1"/>
            <w:spacing w:val="-2"/>
            <w:sz w:val="20"/>
            <w:u w:val="single" w:color="0462C1"/>
          </w:rPr>
          <w:t>http://doi.org/10.9770/jesi.2017.5.2(8)</w:t>
        </w:r>
      </w:hyperlink>
    </w:p>
    <w:p>
      <w:pPr>
        <w:pStyle w:val="ListParagraph"/>
        <w:numPr>
          <w:ilvl w:val="0"/>
          <w:numId w:val="8"/>
        </w:numPr>
        <w:tabs>
          <w:tab w:pos="734" w:val="left" w:leader="none"/>
        </w:tabs>
        <w:spacing w:line="240" w:lineRule="auto" w:before="1" w:after="0"/>
        <w:ind w:left="734" w:right="0" w:hanging="610"/>
        <w:jc w:val="both"/>
        <w:rPr>
          <w:sz w:val="20"/>
        </w:rPr>
      </w:pPr>
      <w:r>
        <w:rPr>
          <w:sz w:val="20"/>
        </w:rPr>
        <w:t>Milogolov,</w:t>
      </w:r>
      <w:r>
        <w:rPr>
          <w:spacing w:val="11"/>
          <w:sz w:val="20"/>
        </w:rPr>
        <w:t> </w:t>
      </w:r>
      <w:r>
        <w:rPr>
          <w:sz w:val="20"/>
        </w:rPr>
        <w:t>N.S.</w:t>
      </w:r>
      <w:r>
        <w:rPr>
          <w:spacing w:val="13"/>
          <w:sz w:val="20"/>
        </w:rPr>
        <w:t> </w:t>
      </w:r>
      <w:r>
        <w:rPr>
          <w:sz w:val="20"/>
        </w:rPr>
        <w:t>(2015).</w:t>
      </w:r>
      <w:r>
        <w:rPr>
          <w:spacing w:val="14"/>
          <w:sz w:val="20"/>
        </w:rPr>
        <w:t> </w:t>
      </w:r>
      <w:r>
        <w:rPr>
          <w:sz w:val="20"/>
        </w:rPr>
        <w:t>“Countering</w:t>
      </w:r>
      <w:r>
        <w:rPr>
          <w:spacing w:val="10"/>
          <w:sz w:val="20"/>
        </w:rPr>
        <w:t> </w:t>
      </w:r>
      <w:r>
        <w:rPr>
          <w:sz w:val="20"/>
        </w:rPr>
        <w:t>the</w:t>
      </w:r>
      <w:r>
        <w:rPr>
          <w:spacing w:val="8"/>
          <w:sz w:val="20"/>
        </w:rPr>
        <w:t> </w:t>
      </w:r>
      <w:r>
        <w:rPr>
          <w:sz w:val="20"/>
        </w:rPr>
        <w:t>base</w:t>
      </w:r>
      <w:r>
        <w:rPr>
          <w:spacing w:val="8"/>
          <w:sz w:val="20"/>
        </w:rPr>
        <w:t> </w:t>
      </w:r>
      <w:r>
        <w:rPr>
          <w:sz w:val="20"/>
        </w:rPr>
        <w:t>erosion:</w:t>
      </w:r>
      <w:r>
        <w:rPr>
          <w:spacing w:val="13"/>
          <w:sz w:val="20"/>
        </w:rPr>
        <w:t> </w:t>
      </w:r>
      <w:r>
        <w:rPr>
          <w:sz w:val="20"/>
        </w:rPr>
        <w:t>Russian</w:t>
      </w:r>
      <w:r>
        <w:rPr>
          <w:spacing w:val="15"/>
          <w:sz w:val="20"/>
        </w:rPr>
        <w:t> </w:t>
      </w:r>
      <w:r>
        <w:rPr>
          <w:sz w:val="20"/>
        </w:rPr>
        <w:t>practice</w:t>
      </w:r>
      <w:r>
        <w:rPr>
          <w:spacing w:val="8"/>
          <w:sz w:val="20"/>
        </w:rPr>
        <w:t> </w:t>
      </w:r>
      <w:r>
        <w:rPr>
          <w:sz w:val="20"/>
        </w:rPr>
        <w:t>and</w:t>
      </w:r>
      <w:r>
        <w:rPr>
          <w:spacing w:val="10"/>
          <w:sz w:val="20"/>
        </w:rPr>
        <w:t> </w:t>
      </w:r>
      <w:r>
        <w:rPr>
          <w:sz w:val="20"/>
        </w:rPr>
        <w:t>foreign</w:t>
      </w:r>
      <w:r>
        <w:rPr>
          <w:spacing w:val="16"/>
          <w:sz w:val="20"/>
        </w:rPr>
        <w:t> </w:t>
      </w:r>
      <w:r>
        <w:rPr>
          <w:spacing w:val="-2"/>
          <w:sz w:val="20"/>
        </w:rPr>
        <w:t>experience”.</w:t>
      </w:r>
    </w:p>
    <w:p>
      <w:pPr>
        <w:spacing w:before="1"/>
        <w:ind w:left="734" w:right="0" w:firstLine="0"/>
        <w:jc w:val="both"/>
        <w:rPr>
          <w:sz w:val="20"/>
        </w:rPr>
      </w:pPr>
      <w:r>
        <w:rPr>
          <w:i/>
          <w:sz w:val="20"/>
        </w:rPr>
        <w:t>Tax</w:t>
      </w:r>
      <w:r>
        <w:rPr>
          <w:i/>
          <w:spacing w:val="-5"/>
          <w:sz w:val="20"/>
        </w:rPr>
        <w:t> </w:t>
      </w:r>
      <w:r>
        <w:rPr>
          <w:i/>
          <w:sz w:val="20"/>
        </w:rPr>
        <w:t>Specialist</w:t>
      </w:r>
      <w:r>
        <w:rPr>
          <w:sz w:val="20"/>
        </w:rPr>
        <w:t>,</w:t>
      </w:r>
      <w:r>
        <w:rPr>
          <w:spacing w:val="-2"/>
          <w:sz w:val="20"/>
        </w:rPr>
        <w:t> </w:t>
      </w:r>
      <w:r>
        <w:rPr>
          <w:sz w:val="20"/>
        </w:rPr>
        <w:t>Vol.</w:t>
      </w:r>
      <w:r>
        <w:rPr>
          <w:spacing w:val="-6"/>
          <w:sz w:val="20"/>
        </w:rPr>
        <w:t> </w:t>
      </w:r>
      <w:r>
        <w:rPr>
          <w:sz w:val="20"/>
        </w:rPr>
        <w:t>9,</w:t>
      </w:r>
      <w:r>
        <w:rPr>
          <w:spacing w:val="-2"/>
          <w:sz w:val="20"/>
        </w:rPr>
        <w:t> </w:t>
      </w:r>
      <w:r>
        <w:rPr>
          <w:sz w:val="20"/>
        </w:rPr>
        <w:t>pp.</w:t>
      </w:r>
      <w:r>
        <w:rPr>
          <w:spacing w:val="-5"/>
          <w:sz w:val="20"/>
        </w:rPr>
        <w:t> </w:t>
      </w:r>
      <w:r>
        <w:rPr>
          <w:sz w:val="20"/>
        </w:rPr>
        <w:t>28-</w:t>
      </w:r>
      <w:r>
        <w:rPr>
          <w:spacing w:val="-5"/>
          <w:sz w:val="20"/>
        </w:rPr>
        <w:t>37.</w:t>
      </w:r>
    </w:p>
    <w:p>
      <w:pPr>
        <w:pStyle w:val="ListParagraph"/>
        <w:numPr>
          <w:ilvl w:val="0"/>
          <w:numId w:val="8"/>
        </w:numPr>
        <w:tabs>
          <w:tab w:pos="734" w:val="left" w:leader="none"/>
        </w:tabs>
        <w:spacing w:line="240" w:lineRule="auto" w:before="0" w:after="0"/>
        <w:ind w:left="734" w:right="654" w:hanging="611"/>
        <w:jc w:val="left"/>
        <w:rPr>
          <w:sz w:val="20"/>
        </w:rPr>
      </w:pPr>
      <w:r>
        <w:rPr>
          <w:sz w:val="20"/>
        </w:rPr>
        <w:t>Mooij, H. (2019). “Tax treaty</w:t>
      </w:r>
      <w:r>
        <w:rPr>
          <w:spacing w:val="-1"/>
          <w:sz w:val="20"/>
        </w:rPr>
        <w:t> </w:t>
      </w:r>
      <w:r>
        <w:rPr>
          <w:sz w:val="20"/>
        </w:rPr>
        <w:t>arbitration”, </w:t>
      </w:r>
      <w:r>
        <w:rPr>
          <w:i/>
          <w:sz w:val="20"/>
        </w:rPr>
        <w:t>Arbitration International</w:t>
      </w:r>
      <w:r>
        <w:rPr>
          <w:sz w:val="20"/>
        </w:rPr>
        <w:t>, Vol. 35, No. 2, pp. 195-219. </w:t>
      </w:r>
      <w:hyperlink r:id="rId21">
        <w:r>
          <w:rPr>
            <w:color w:val="0462C1"/>
            <w:spacing w:val="-2"/>
            <w:sz w:val="20"/>
            <w:u w:val="single" w:color="0462C1"/>
          </w:rPr>
          <w:t>https://doi.org/10.1093/arbint/aiy004</w:t>
        </w:r>
      </w:hyperlink>
    </w:p>
    <w:p>
      <w:pPr>
        <w:pStyle w:val="ListParagraph"/>
        <w:numPr>
          <w:ilvl w:val="0"/>
          <w:numId w:val="8"/>
        </w:numPr>
        <w:tabs>
          <w:tab w:pos="734" w:val="left" w:leader="none"/>
          <w:tab w:pos="2404" w:val="left" w:leader="none"/>
          <w:tab w:pos="3759" w:val="left" w:leader="none"/>
          <w:tab w:pos="4748" w:val="left" w:leader="none"/>
          <w:tab w:pos="5732" w:val="left" w:leader="none"/>
          <w:tab w:pos="7086" w:val="left" w:leader="none"/>
          <w:tab w:pos="8496" w:val="left" w:leader="none"/>
        </w:tabs>
        <w:spacing w:line="237" w:lineRule="auto" w:before="3" w:after="0"/>
        <w:ind w:left="734" w:right="651" w:hanging="611"/>
        <w:jc w:val="left"/>
        <w:rPr>
          <w:sz w:val="20"/>
        </w:rPr>
      </w:pPr>
      <w:r>
        <w:rPr>
          <w:sz w:val="20"/>
        </w:rPr>
        <w:t>Nevius, A.M.J.D. (2016). Prop. Regs. Would Impose Reporting Requirements on Foreign-Owned </w:t>
      </w:r>
      <w:r>
        <w:rPr>
          <w:spacing w:val="-2"/>
          <w:sz w:val="20"/>
        </w:rPr>
        <w:t>Disregarded</w:t>
      </w:r>
      <w:r>
        <w:rPr>
          <w:sz w:val="20"/>
        </w:rPr>
        <w:tab/>
      </w:r>
      <w:r>
        <w:rPr>
          <w:spacing w:val="-2"/>
          <w:sz w:val="20"/>
        </w:rPr>
        <w:t>Entities,</w:t>
      </w:r>
      <w:r>
        <w:rPr>
          <w:sz w:val="20"/>
        </w:rPr>
        <w:tab/>
      </w:r>
      <w:r>
        <w:rPr>
          <w:i/>
          <w:spacing w:val="-4"/>
          <w:sz w:val="20"/>
        </w:rPr>
        <w:t>The</w:t>
      </w:r>
      <w:r>
        <w:rPr>
          <w:i/>
          <w:sz w:val="20"/>
        </w:rPr>
        <w:tab/>
      </w:r>
      <w:r>
        <w:rPr>
          <w:i/>
          <w:spacing w:val="-4"/>
          <w:sz w:val="20"/>
        </w:rPr>
        <w:t>Tax</w:t>
      </w:r>
      <w:r>
        <w:rPr>
          <w:i/>
          <w:sz w:val="20"/>
        </w:rPr>
        <w:tab/>
      </w:r>
      <w:r>
        <w:rPr>
          <w:i/>
          <w:spacing w:val="-2"/>
          <w:sz w:val="20"/>
        </w:rPr>
        <w:t>Adviser</w:t>
      </w:r>
      <w:r>
        <w:rPr>
          <w:spacing w:val="-2"/>
          <w:sz w:val="20"/>
        </w:rPr>
        <w:t>,</w:t>
      </w:r>
      <w:r>
        <w:rPr>
          <w:sz w:val="20"/>
        </w:rPr>
        <w:tab/>
      </w:r>
      <w:r>
        <w:rPr>
          <w:spacing w:val="-2"/>
          <w:sz w:val="20"/>
        </w:rPr>
        <w:t>available</w:t>
      </w:r>
      <w:r>
        <w:rPr>
          <w:sz w:val="20"/>
        </w:rPr>
        <w:tab/>
      </w:r>
      <w:r>
        <w:rPr>
          <w:spacing w:val="-4"/>
          <w:sz w:val="20"/>
        </w:rPr>
        <w:t>at: </w:t>
      </w:r>
      <w:hyperlink r:id="rId22">
        <w:r>
          <w:rPr>
            <w:color w:val="0462C1"/>
            <w:sz w:val="20"/>
            <w:u w:val="single" w:color="0462C1"/>
          </w:rPr>
          <w:t>https://www.thetaxadviser.com/news/2016/may/reporting-requirements-on-foreign-owned-</w:t>
        </w:r>
      </w:hyperlink>
      <w:hyperlink r:id="rId22">
        <w:r>
          <w:rPr>
            <w:color w:val="0462C1"/>
            <w:sz w:val="20"/>
            <w:u w:val="single" w:color="0462C1"/>
          </w:rPr>
          <w:t>disregarded-entities-201614384.html</w:t>
        </w:r>
      </w:hyperlink>
      <w:r>
        <w:rPr>
          <w:color w:val="0462C1"/>
          <w:sz w:val="20"/>
        </w:rPr>
        <w:t> </w:t>
      </w:r>
      <w:r>
        <w:rPr>
          <w:sz w:val="20"/>
        </w:rPr>
        <w:t>(accessed 27 March 2020).</w:t>
      </w:r>
    </w:p>
    <w:p>
      <w:pPr>
        <w:pStyle w:val="ListParagraph"/>
        <w:numPr>
          <w:ilvl w:val="0"/>
          <w:numId w:val="8"/>
        </w:numPr>
        <w:tabs>
          <w:tab w:pos="734" w:val="left" w:leader="none"/>
        </w:tabs>
        <w:spacing w:line="240" w:lineRule="auto" w:before="5" w:after="0"/>
        <w:ind w:left="734" w:right="653" w:hanging="611"/>
        <w:jc w:val="both"/>
        <w:rPr>
          <w:sz w:val="20"/>
        </w:rPr>
      </w:pPr>
      <w:r>
        <w:rPr>
          <w:sz w:val="20"/>
        </w:rPr>
        <w:t>OECD. (2015). Making Dispute Resolution Mechanisms More Effective, Action 14 – 2015 Final Report, available at: </w:t>
      </w:r>
      <w:hyperlink r:id="rId23">
        <w:r>
          <w:rPr>
            <w:color w:val="0462C1"/>
            <w:sz w:val="20"/>
            <w:u w:val="single" w:color="0462C1"/>
          </w:rPr>
          <w:t>www.oecd.org/tax/making-dispute-resolution-mechanisms-more-effective-</w:t>
        </w:r>
      </w:hyperlink>
      <w:hyperlink r:id="rId23">
        <w:r>
          <w:rPr>
            <w:color w:val="0462C1"/>
            <w:sz w:val="20"/>
            <w:u w:val="single" w:color="0462C1"/>
          </w:rPr>
          <w:t>action-14-2015-final-report-9789264241633-en.htm</w:t>
        </w:r>
      </w:hyperlink>
      <w:r>
        <w:rPr>
          <w:color w:val="0462C1"/>
          <w:sz w:val="20"/>
        </w:rPr>
        <w:t> </w:t>
      </w:r>
      <w:r>
        <w:rPr>
          <w:sz w:val="20"/>
        </w:rPr>
        <w:t>(accessed 27 March 2020).</w:t>
      </w:r>
    </w:p>
    <w:p>
      <w:pPr>
        <w:pStyle w:val="ListParagraph"/>
        <w:numPr>
          <w:ilvl w:val="0"/>
          <w:numId w:val="8"/>
        </w:numPr>
        <w:tabs>
          <w:tab w:pos="734" w:val="left" w:leader="none"/>
        </w:tabs>
        <w:spacing w:line="240" w:lineRule="auto" w:before="1" w:after="0"/>
        <w:ind w:left="734" w:right="651" w:hanging="611"/>
        <w:jc w:val="both"/>
        <w:rPr>
          <w:sz w:val="20"/>
        </w:rPr>
      </w:pPr>
      <w:r>
        <w:rPr>
          <w:sz w:val="20"/>
        </w:rPr>
        <w:t>OECD. (2016a). Multilateral</w:t>
      </w:r>
      <w:r>
        <w:rPr>
          <w:spacing w:val="-3"/>
          <w:sz w:val="20"/>
        </w:rPr>
        <w:t> </w:t>
      </w:r>
      <w:r>
        <w:rPr>
          <w:sz w:val="20"/>
        </w:rPr>
        <w:t>Convention to</w:t>
      </w:r>
      <w:r>
        <w:rPr>
          <w:spacing w:val="-5"/>
          <w:sz w:val="20"/>
        </w:rPr>
        <w:t> </w:t>
      </w:r>
      <w:r>
        <w:rPr>
          <w:sz w:val="20"/>
        </w:rPr>
        <w:t>Implement Tax</w:t>
      </w:r>
      <w:r>
        <w:rPr>
          <w:spacing w:val="-5"/>
          <w:sz w:val="20"/>
        </w:rPr>
        <w:t> </w:t>
      </w:r>
      <w:r>
        <w:rPr>
          <w:sz w:val="20"/>
        </w:rPr>
        <w:t>Treaty</w:t>
      </w:r>
      <w:r>
        <w:rPr>
          <w:spacing w:val="-5"/>
          <w:sz w:val="20"/>
        </w:rPr>
        <w:t> </w:t>
      </w:r>
      <w:r>
        <w:rPr>
          <w:sz w:val="20"/>
        </w:rPr>
        <w:t>Related Measures</w:t>
      </w:r>
      <w:r>
        <w:rPr>
          <w:spacing w:val="-1"/>
          <w:sz w:val="20"/>
        </w:rPr>
        <w:t> </w:t>
      </w:r>
      <w:r>
        <w:rPr>
          <w:sz w:val="20"/>
        </w:rPr>
        <w:t>Prevent Base Erosion and</w:t>
      </w:r>
      <w:r>
        <w:rPr>
          <w:spacing w:val="-7"/>
          <w:sz w:val="20"/>
        </w:rPr>
        <w:t> </w:t>
      </w:r>
      <w:r>
        <w:rPr>
          <w:sz w:val="20"/>
        </w:rPr>
        <w:t>Profit</w:t>
      </w:r>
      <w:r>
        <w:rPr>
          <w:spacing w:val="-1"/>
          <w:sz w:val="20"/>
        </w:rPr>
        <w:t> </w:t>
      </w:r>
      <w:r>
        <w:rPr>
          <w:sz w:val="20"/>
        </w:rPr>
        <w:t>Shifting,</w:t>
      </w:r>
      <w:r>
        <w:rPr>
          <w:spacing w:val="-4"/>
          <w:sz w:val="20"/>
        </w:rPr>
        <w:t> </w:t>
      </w:r>
      <w:r>
        <w:rPr>
          <w:sz w:val="20"/>
        </w:rPr>
        <w:t>available</w:t>
      </w:r>
      <w:r>
        <w:rPr>
          <w:spacing w:val="-5"/>
          <w:sz w:val="20"/>
        </w:rPr>
        <w:t> </w:t>
      </w:r>
      <w:r>
        <w:rPr>
          <w:sz w:val="20"/>
        </w:rPr>
        <w:t>at:</w:t>
      </w:r>
      <w:r>
        <w:rPr>
          <w:spacing w:val="-1"/>
          <w:sz w:val="20"/>
        </w:rPr>
        <w:t> </w:t>
      </w:r>
      <w:hyperlink r:id="rId24">
        <w:r>
          <w:rPr>
            <w:color w:val="0462C1"/>
            <w:sz w:val="20"/>
            <w:u w:val="single" w:color="0462C1"/>
          </w:rPr>
          <w:t>https://www.oecd.org/tax/treaties/multilateral-convention-</w:t>
        </w:r>
      </w:hyperlink>
      <w:hyperlink r:id="rId24">
        <w:r>
          <w:rPr>
            <w:color w:val="0462C1"/>
            <w:sz w:val="20"/>
            <w:u w:val="single" w:color="0462C1"/>
          </w:rPr>
          <w:t>to-implement-tax-treaty-related-measures-to-prevent-BEPS.pdf</w:t>
        </w:r>
      </w:hyperlink>
      <w:r>
        <w:rPr>
          <w:color w:val="0462C1"/>
          <w:sz w:val="20"/>
        </w:rPr>
        <w:t> </w:t>
      </w:r>
      <w:r>
        <w:rPr>
          <w:sz w:val="20"/>
        </w:rPr>
        <w:t>(accessed 27 March 2020).</w:t>
      </w:r>
    </w:p>
    <w:p>
      <w:pPr>
        <w:pStyle w:val="ListParagraph"/>
        <w:numPr>
          <w:ilvl w:val="0"/>
          <w:numId w:val="8"/>
        </w:numPr>
        <w:tabs>
          <w:tab w:pos="734" w:val="left" w:leader="none"/>
          <w:tab w:pos="1544" w:val="left" w:leader="none"/>
          <w:tab w:pos="2552" w:val="left" w:leader="none"/>
          <w:tab w:pos="2969" w:val="left" w:leader="none"/>
          <w:tab w:pos="3837" w:val="left" w:leader="none"/>
          <w:tab w:pos="4456" w:val="left" w:leader="none"/>
          <w:tab w:pos="5310" w:val="left" w:leader="none"/>
          <w:tab w:pos="5861" w:val="left" w:leader="none"/>
          <w:tab w:pos="6571" w:val="left" w:leader="none"/>
          <w:tab w:pos="7501" w:val="left" w:leader="none"/>
          <w:tab w:pos="8484" w:val="left" w:leader="none"/>
        </w:tabs>
        <w:spacing w:line="240" w:lineRule="auto" w:before="1" w:after="0"/>
        <w:ind w:left="734" w:right="663" w:hanging="611"/>
        <w:jc w:val="left"/>
        <w:rPr>
          <w:sz w:val="20"/>
        </w:rPr>
      </w:pPr>
      <w:r>
        <w:rPr>
          <w:sz w:val="20"/>
        </w:rPr>
        <w:t>OECD.</w:t>
      </w:r>
      <w:r>
        <w:rPr>
          <w:spacing w:val="40"/>
          <w:sz w:val="20"/>
        </w:rPr>
        <w:t> </w:t>
      </w:r>
      <w:r>
        <w:rPr>
          <w:sz w:val="20"/>
        </w:rPr>
        <w:t>(2016b).</w:t>
      </w:r>
      <w:r>
        <w:rPr>
          <w:spacing w:val="40"/>
          <w:sz w:val="20"/>
        </w:rPr>
        <w:t> </w:t>
      </w:r>
      <w:r>
        <w:rPr>
          <w:sz w:val="20"/>
        </w:rPr>
        <w:t>Explanatory</w:t>
      </w:r>
      <w:r>
        <w:rPr>
          <w:spacing w:val="35"/>
          <w:sz w:val="20"/>
        </w:rPr>
        <w:t> </w:t>
      </w:r>
      <w:r>
        <w:rPr>
          <w:sz w:val="20"/>
        </w:rPr>
        <w:t>statement</w:t>
      </w:r>
      <w:r>
        <w:rPr>
          <w:spacing w:val="40"/>
          <w:sz w:val="20"/>
        </w:rPr>
        <w:t> </w:t>
      </w:r>
      <w:r>
        <w:rPr>
          <w:sz w:val="20"/>
        </w:rPr>
        <w:t>to</w:t>
      </w:r>
      <w:r>
        <w:rPr>
          <w:spacing w:val="35"/>
          <w:sz w:val="20"/>
        </w:rPr>
        <w:t> </w:t>
      </w:r>
      <w:r>
        <w:rPr>
          <w:sz w:val="20"/>
        </w:rPr>
        <w:t>the</w:t>
      </w:r>
      <w:r>
        <w:rPr>
          <w:spacing w:val="36"/>
          <w:sz w:val="20"/>
        </w:rPr>
        <w:t> </w:t>
      </w:r>
      <w:r>
        <w:rPr>
          <w:sz w:val="20"/>
        </w:rPr>
        <w:t>multilateral</w:t>
      </w:r>
      <w:r>
        <w:rPr>
          <w:spacing w:val="36"/>
          <w:sz w:val="20"/>
        </w:rPr>
        <w:t> </w:t>
      </w:r>
      <w:r>
        <w:rPr>
          <w:sz w:val="20"/>
        </w:rPr>
        <w:t>convention</w:t>
      </w:r>
      <w:r>
        <w:rPr>
          <w:spacing w:val="40"/>
          <w:sz w:val="20"/>
        </w:rPr>
        <w:t> </w:t>
      </w:r>
      <w:r>
        <w:rPr>
          <w:sz w:val="20"/>
        </w:rPr>
        <w:t>to</w:t>
      </w:r>
      <w:r>
        <w:rPr>
          <w:spacing w:val="35"/>
          <w:sz w:val="20"/>
        </w:rPr>
        <w:t> </w:t>
      </w:r>
      <w:r>
        <w:rPr>
          <w:sz w:val="20"/>
        </w:rPr>
        <w:t>implement</w:t>
      </w:r>
      <w:r>
        <w:rPr>
          <w:spacing w:val="40"/>
          <w:sz w:val="20"/>
        </w:rPr>
        <w:t> </w:t>
      </w:r>
      <w:r>
        <w:rPr>
          <w:sz w:val="20"/>
        </w:rPr>
        <w:t>tax</w:t>
      </w:r>
      <w:r>
        <w:rPr>
          <w:spacing w:val="35"/>
          <w:sz w:val="20"/>
        </w:rPr>
        <w:t> </w:t>
      </w:r>
      <w:r>
        <w:rPr>
          <w:sz w:val="20"/>
        </w:rPr>
        <w:t>treaty </w:t>
      </w:r>
      <w:r>
        <w:rPr>
          <w:spacing w:val="-2"/>
          <w:sz w:val="20"/>
        </w:rPr>
        <w:t>related</w:t>
      </w:r>
      <w:r>
        <w:rPr>
          <w:sz w:val="20"/>
        </w:rPr>
        <w:tab/>
      </w:r>
      <w:r>
        <w:rPr>
          <w:spacing w:val="-2"/>
          <w:sz w:val="20"/>
        </w:rPr>
        <w:t>measures</w:t>
      </w:r>
      <w:r>
        <w:rPr>
          <w:sz w:val="20"/>
        </w:rPr>
        <w:tab/>
      </w:r>
      <w:r>
        <w:rPr>
          <w:spacing w:val="-6"/>
          <w:sz w:val="20"/>
        </w:rPr>
        <w:t>to</w:t>
      </w:r>
      <w:r>
        <w:rPr>
          <w:sz w:val="20"/>
        </w:rPr>
        <w:tab/>
      </w:r>
      <w:r>
        <w:rPr>
          <w:spacing w:val="-2"/>
          <w:sz w:val="20"/>
        </w:rPr>
        <w:t>prevent</w:t>
      </w:r>
      <w:r>
        <w:rPr>
          <w:sz w:val="20"/>
        </w:rPr>
        <w:tab/>
      </w:r>
      <w:r>
        <w:rPr>
          <w:spacing w:val="-4"/>
          <w:sz w:val="20"/>
        </w:rPr>
        <w:t>base</w:t>
      </w:r>
      <w:r>
        <w:rPr>
          <w:sz w:val="20"/>
        </w:rPr>
        <w:tab/>
      </w:r>
      <w:r>
        <w:rPr>
          <w:spacing w:val="-2"/>
          <w:sz w:val="20"/>
        </w:rPr>
        <w:t>erosion</w:t>
      </w:r>
      <w:r>
        <w:rPr>
          <w:sz w:val="20"/>
        </w:rPr>
        <w:tab/>
      </w:r>
      <w:r>
        <w:rPr>
          <w:spacing w:val="-4"/>
          <w:sz w:val="20"/>
        </w:rPr>
        <w:t>and</w:t>
      </w:r>
      <w:r>
        <w:rPr>
          <w:sz w:val="20"/>
        </w:rPr>
        <w:tab/>
      </w:r>
      <w:r>
        <w:rPr>
          <w:spacing w:val="-2"/>
          <w:sz w:val="20"/>
        </w:rPr>
        <w:t>profit</w:t>
      </w:r>
      <w:r>
        <w:rPr>
          <w:sz w:val="20"/>
        </w:rPr>
        <w:tab/>
      </w:r>
      <w:r>
        <w:rPr>
          <w:spacing w:val="-2"/>
          <w:sz w:val="20"/>
        </w:rPr>
        <w:t>shifting,</w:t>
      </w:r>
      <w:r>
        <w:rPr>
          <w:sz w:val="20"/>
        </w:rPr>
        <w:tab/>
      </w:r>
      <w:r>
        <w:rPr>
          <w:spacing w:val="-2"/>
          <w:sz w:val="20"/>
        </w:rPr>
        <w:t>available</w:t>
      </w:r>
      <w:r>
        <w:rPr>
          <w:sz w:val="20"/>
        </w:rPr>
        <w:tab/>
      </w:r>
      <w:r>
        <w:rPr>
          <w:spacing w:val="-4"/>
          <w:sz w:val="20"/>
        </w:rPr>
        <w:t>at: </w:t>
      </w:r>
      <w:hyperlink r:id="rId25">
        <w:r>
          <w:rPr>
            <w:color w:val="0462C1"/>
            <w:sz w:val="20"/>
            <w:u w:val="single" w:color="0462C1"/>
          </w:rPr>
          <w:t>https://www.oecd.org/tax/treaties/explanatory-statement-multilateral-convention-to-implement-</w:t>
        </w:r>
        <w:r>
          <w:rPr>
            <w:color w:val="0462C1"/>
            <w:spacing w:val="40"/>
            <w:sz w:val="20"/>
            <w:u w:val="single" w:color="0462C1"/>
          </w:rPr>
          <w:t> </w:t>
        </w:r>
      </w:hyperlink>
      <w:hyperlink r:id="rId25">
        <w:r>
          <w:rPr>
            <w:color w:val="0462C1"/>
            <w:sz w:val="20"/>
            <w:u w:val="single" w:color="0462C1"/>
          </w:rPr>
          <w:t>tax-treaty-related-measures-to-prevent-BEPS.pdf</w:t>
        </w:r>
      </w:hyperlink>
      <w:r>
        <w:rPr>
          <w:color w:val="0462C1"/>
          <w:sz w:val="20"/>
        </w:rPr>
        <w:t> </w:t>
      </w:r>
      <w:r>
        <w:rPr>
          <w:sz w:val="20"/>
        </w:rPr>
        <w:t>(accessed 27 March 2020).</w:t>
      </w:r>
    </w:p>
    <w:p>
      <w:pPr>
        <w:pStyle w:val="ListParagraph"/>
        <w:numPr>
          <w:ilvl w:val="0"/>
          <w:numId w:val="8"/>
        </w:numPr>
        <w:tabs>
          <w:tab w:pos="734" w:val="left" w:leader="none"/>
        </w:tabs>
        <w:spacing w:line="240" w:lineRule="auto" w:before="0" w:after="0"/>
        <w:ind w:left="734" w:right="651" w:hanging="611"/>
        <w:jc w:val="both"/>
        <w:rPr>
          <w:sz w:val="20"/>
        </w:rPr>
      </w:pPr>
      <w:r>
        <w:rPr>
          <w:sz w:val="20"/>
        </w:rPr>
        <w:t>OECD. (2019). Russian Federation Status of List of Reservations and Notifications at the Time of Signature, available at: </w:t>
      </w:r>
      <w:hyperlink r:id="rId26">
        <w:r>
          <w:rPr>
            <w:color w:val="0462C1"/>
            <w:sz w:val="20"/>
            <w:u w:val="single" w:color="0462C1"/>
          </w:rPr>
          <w:t>http://www.oecd.org/tax/treaties/beps-mli-position-russian-federation-</w:t>
        </w:r>
      </w:hyperlink>
      <w:hyperlink r:id="rId26">
        <w:r>
          <w:rPr>
            <w:color w:val="0462C1"/>
            <w:sz w:val="20"/>
            <w:u w:val="single" w:color="0462C1"/>
          </w:rPr>
          <w:t>instrument-deposit.pdf</w:t>
        </w:r>
      </w:hyperlink>
      <w:r>
        <w:rPr>
          <w:color w:val="0462C1"/>
          <w:sz w:val="20"/>
        </w:rPr>
        <w:t> </w:t>
      </w:r>
      <w:r>
        <w:rPr>
          <w:sz w:val="20"/>
        </w:rPr>
        <w:t>(accessed 27 March 2020).</w:t>
      </w:r>
    </w:p>
    <w:p>
      <w:pPr>
        <w:pStyle w:val="ListParagraph"/>
        <w:numPr>
          <w:ilvl w:val="0"/>
          <w:numId w:val="8"/>
        </w:numPr>
        <w:tabs>
          <w:tab w:pos="734" w:val="left" w:leader="none"/>
        </w:tabs>
        <w:spacing w:line="240" w:lineRule="auto" w:before="0" w:after="0"/>
        <w:ind w:left="734" w:right="660" w:hanging="611"/>
        <w:jc w:val="both"/>
        <w:rPr>
          <w:sz w:val="20"/>
        </w:rPr>
      </w:pPr>
      <w:r>
        <w:rPr>
          <w:sz w:val="20"/>
        </w:rPr>
        <w:t>OECD. (2020). Signatories and parties to the Multilateral Convention to Implement Tax Treaty Related</w:t>
      </w:r>
      <w:r>
        <w:rPr>
          <w:spacing w:val="31"/>
          <w:sz w:val="20"/>
        </w:rPr>
        <w:t> </w:t>
      </w:r>
      <w:r>
        <w:rPr>
          <w:sz w:val="20"/>
        </w:rPr>
        <w:t>Measures</w:t>
      </w:r>
      <w:r>
        <w:rPr>
          <w:spacing w:val="29"/>
          <w:sz w:val="20"/>
        </w:rPr>
        <w:t> </w:t>
      </w:r>
      <w:r>
        <w:rPr>
          <w:sz w:val="20"/>
        </w:rPr>
        <w:t>to</w:t>
      </w:r>
      <w:r>
        <w:rPr>
          <w:spacing w:val="31"/>
          <w:sz w:val="20"/>
        </w:rPr>
        <w:t> </w:t>
      </w:r>
      <w:r>
        <w:rPr>
          <w:sz w:val="20"/>
        </w:rPr>
        <w:t>Prevent</w:t>
      </w:r>
      <w:r>
        <w:rPr>
          <w:spacing w:val="32"/>
          <w:sz w:val="20"/>
        </w:rPr>
        <w:t> </w:t>
      </w:r>
      <w:r>
        <w:rPr>
          <w:sz w:val="20"/>
        </w:rPr>
        <w:t>Base</w:t>
      </w:r>
      <w:r>
        <w:rPr>
          <w:spacing w:val="32"/>
          <w:sz w:val="20"/>
        </w:rPr>
        <w:t> </w:t>
      </w:r>
      <w:r>
        <w:rPr>
          <w:sz w:val="20"/>
        </w:rPr>
        <w:t>Erosion</w:t>
      </w:r>
      <w:r>
        <w:rPr>
          <w:spacing w:val="36"/>
          <w:sz w:val="20"/>
        </w:rPr>
        <w:t> </w:t>
      </w:r>
      <w:r>
        <w:rPr>
          <w:sz w:val="20"/>
        </w:rPr>
        <w:t>and</w:t>
      </w:r>
      <w:r>
        <w:rPr>
          <w:spacing w:val="31"/>
          <w:sz w:val="20"/>
        </w:rPr>
        <w:t> </w:t>
      </w:r>
      <w:r>
        <w:rPr>
          <w:sz w:val="20"/>
        </w:rPr>
        <w:t>Profit</w:t>
      </w:r>
      <w:r>
        <w:rPr>
          <w:spacing w:val="32"/>
          <w:sz w:val="20"/>
        </w:rPr>
        <w:t> </w:t>
      </w:r>
      <w:r>
        <w:rPr>
          <w:sz w:val="20"/>
        </w:rPr>
        <w:t>Shifting,</w:t>
      </w:r>
      <w:r>
        <w:rPr>
          <w:spacing w:val="33"/>
          <w:sz w:val="20"/>
        </w:rPr>
        <w:t> </w:t>
      </w:r>
      <w:r>
        <w:rPr>
          <w:sz w:val="20"/>
        </w:rPr>
        <w:t>Status</w:t>
      </w:r>
      <w:r>
        <w:rPr>
          <w:spacing w:val="29"/>
          <w:sz w:val="20"/>
        </w:rPr>
        <w:t> </w:t>
      </w:r>
      <w:r>
        <w:rPr>
          <w:sz w:val="20"/>
        </w:rPr>
        <w:t>as</w:t>
      </w:r>
      <w:r>
        <w:rPr>
          <w:spacing w:val="29"/>
          <w:sz w:val="20"/>
        </w:rPr>
        <w:t> </w:t>
      </w:r>
      <w:r>
        <w:rPr>
          <w:sz w:val="20"/>
        </w:rPr>
        <w:t>of</w:t>
      </w:r>
      <w:r>
        <w:rPr>
          <w:spacing w:val="26"/>
          <w:sz w:val="20"/>
        </w:rPr>
        <w:t> </w:t>
      </w:r>
      <w:r>
        <w:rPr>
          <w:sz w:val="20"/>
        </w:rPr>
        <w:t>28</w:t>
      </w:r>
      <w:r>
        <w:rPr>
          <w:spacing w:val="36"/>
          <w:sz w:val="20"/>
        </w:rPr>
        <w:t> </w:t>
      </w:r>
      <w:r>
        <w:rPr>
          <w:sz w:val="20"/>
        </w:rPr>
        <w:t>February</w:t>
      </w:r>
      <w:r>
        <w:rPr>
          <w:spacing w:val="21"/>
          <w:sz w:val="20"/>
        </w:rPr>
        <w:t> </w:t>
      </w:r>
      <w:r>
        <w:rPr>
          <w:sz w:val="20"/>
        </w:rPr>
        <w:t>2020,</w:t>
      </w:r>
    </w:p>
    <w:p>
      <w:pPr>
        <w:pStyle w:val="ListParagraph"/>
        <w:spacing w:after="0" w:line="240" w:lineRule="auto"/>
        <w:jc w:val="both"/>
        <w:rPr>
          <w:sz w:val="20"/>
        </w:rPr>
        <w:sectPr>
          <w:pgSz w:w="11910" w:h="16840"/>
          <w:pgMar w:header="709" w:footer="695" w:top="1320" w:bottom="880" w:left="1417" w:right="1133"/>
        </w:sectPr>
      </w:pPr>
    </w:p>
    <w:p>
      <w:pPr>
        <w:pStyle w:val="BodyText"/>
        <w:spacing w:before="91"/>
        <w:ind w:left="1089" w:right="301"/>
      </w:pPr>
      <w:r>
        <w:rPr/>
        <w:t>available at: </w:t>
      </w:r>
      <w:hyperlink r:id="rId27">
        <w:r>
          <w:rPr>
            <w:color w:val="0462C1"/>
            <w:u w:val="single" w:color="0462C1"/>
          </w:rPr>
          <w:t>http://www.oecd.org/tax/beps/beps-mli-signatories-and-parties.pdf</w:t>
        </w:r>
      </w:hyperlink>
      <w:r>
        <w:rPr>
          <w:color w:val="0462C1"/>
          <w:spacing w:val="40"/>
        </w:rPr>
        <w:t> </w:t>
      </w:r>
      <w:r>
        <w:rPr/>
        <w:t>(accessed 27 March 2020).</w:t>
      </w:r>
    </w:p>
    <w:p>
      <w:pPr>
        <w:pStyle w:val="ListParagraph"/>
        <w:numPr>
          <w:ilvl w:val="0"/>
          <w:numId w:val="8"/>
        </w:numPr>
        <w:tabs>
          <w:tab w:pos="1089" w:val="left" w:leader="none"/>
        </w:tabs>
        <w:spacing w:line="240" w:lineRule="auto" w:before="1" w:after="0"/>
        <w:ind w:left="1089" w:right="298" w:hanging="610"/>
        <w:jc w:val="both"/>
        <w:rPr>
          <w:sz w:val="20"/>
        </w:rPr>
      </w:pPr>
      <w:r>
        <w:rPr>
          <w:sz w:val="20"/>
        </w:rPr>
        <w:t>Osipov, G.V., Glotov, V.I. and Karepova, S.G. (2018). “Population in the shadow market: petty corruption and unpaid taxes’, </w:t>
      </w:r>
      <w:r>
        <w:rPr>
          <w:i/>
          <w:sz w:val="20"/>
        </w:rPr>
        <w:t>Entrepreneurship and Sustainability</w:t>
      </w:r>
      <w:r>
        <w:rPr>
          <w:sz w:val="20"/>
        </w:rPr>
        <w:t>, Vol. 6, No. 2, pp. 692-710. </w:t>
      </w:r>
      <w:hyperlink r:id="rId28">
        <w:r>
          <w:rPr>
            <w:color w:val="0462C1"/>
            <w:spacing w:val="-2"/>
            <w:sz w:val="20"/>
            <w:u w:val="single" w:color="0462C1"/>
          </w:rPr>
          <w:t>http://doi.org/10.9770/jesi.2018.6.2(16)</w:t>
        </w:r>
      </w:hyperlink>
    </w:p>
    <w:p>
      <w:pPr>
        <w:pStyle w:val="ListParagraph"/>
        <w:numPr>
          <w:ilvl w:val="0"/>
          <w:numId w:val="8"/>
        </w:numPr>
        <w:tabs>
          <w:tab w:pos="1089" w:val="left" w:leader="none"/>
        </w:tabs>
        <w:spacing w:line="237" w:lineRule="auto" w:before="4" w:after="0"/>
        <w:ind w:left="1089" w:right="296" w:hanging="610"/>
        <w:jc w:val="both"/>
        <w:rPr>
          <w:sz w:val="20"/>
        </w:rPr>
      </w:pPr>
      <w:r>
        <w:rPr>
          <w:sz w:val="20"/>
        </w:rPr>
        <w:t>Petechel, T.A. and Rekeda, A.S. (2017). “Tax problems of e-commerce: international experience and Russian practical activity”, paper presented at International conference on recent trends in marketing, accounting, business, economics and tourism. USA: Smashwords. ISBN:</w:t>
      </w:r>
      <w:r>
        <w:rPr>
          <w:spacing w:val="40"/>
          <w:sz w:val="20"/>
        </w:rPr>
        <w:t> </w:t>
      </w:r>
      <w:r>
        <w:rPr>
          <w:sz w:val="20"/>
        </w:rPr>
        <w:t>978-1-370-</w:t>
      </w:r>
      <w:r>
        <w:rPr>
          <w:spacing w:val="-2"/>
          <w:sz w:val="20"/>
        </w:rPr>
        <w:t>86647-2.</w:t>
      </w:r>
    </w:p>
    <w:p>
      <w:pPr>
        <w:pStyle w:val="ListParagraph"/>
        <w:numPr>
          <w:ilvl w:val="0"/>
          <w:numId w:val="8"/>
        </w:numPr>
        <w:tabs>
          <w:tab w:pos="1088" w:val="left" w:leader="none"/>
        </w:tabs>
        <w:spacing w:line="240" w:lineRule="auto" w:before="4" w:after="0"/>
        <w:ind w:left="1088" w:right="0" w:hanging="609"/>
        <w:jc w:val="both"/>
        <w:rPr>
          <w:sz w:val="20"/>
        </w:rPr>
      </w:pPr>
      <w:r>
        <w:rPr>
          <w:sz w:val="20"/>
        </w:rPr>
        <w:t>Raad,</w:t>
      </w:r>
      <w:r>
        <w:rPr>
          <w:spacing w:val="-5"/>
          <w:sz w:val="20"/>
        </w:rPr>
        <w:t> </w:t>
      </w:r>
      <w:r>
        <w:rPr>
          <w:sz w:val="20"/>
        </w:rPr>
        <w:t>K.</w:t>
      </w:r>
      <w:r>
        <w:rPr>
          <w:spacing w:val="-5"/>
          <w:sz w:val="20"/>
        </w:rPr>
        <w:t> </w:t>
      </w:r>
      <w:r>
        <w:rPr>
          <w:sz w:val="20"/>
        </w:rPr>
        <w:t>(2008).</w:t>
      </w:r>
      <w:r>
        <w:rPr>
          <w:spacing w:val="-5"/>
          <w:sz w:val="20"/>
        </w:rPr>
        <w:t> </w:t>
      </w:r>
      <w:r>
        <w:rPr>
          <w:sz w:val="20"/>
        </w:rPr>
        <w:t>“Klaus</w:t>
      </w:r>
      <w:r>
        <w:rPr>
          <w:spacing w:val="-8"/>
          <w:sz w:val="20"/>
        </w:rPr>
        <w:t> </w:t>
      </w:r>
      <w:r>
        <w:rPr>
          <w:sz w:val="20"/>
        </w:rPr>
        <w:t>Vogel</w:t>
      </w:r>
      <w:r>
        <w:rPr>
          <w:spacing w:val="-1"/>
          <w:sz w:val="20"/>
        </w:rPr>
        <w:t> </w:t>
      </w:r>
      <w:r>
        <w:rPr>
          <w:sz w:val="20"/>
        </w:rPr>
        <w:t>1930-2007”,</w:t>
      </w:r>
      <w:r>
        <w:rPr>
          <w:spacing w:val="-5"/>
          <w:sz w:val="20"/>
        </w:rPr>
        <w:t> </w:t>
      </w:r>
      <w:r>
        <w:rPr>
          <w:i/>
          <w:sz w:val="20"/>
        </w:rPr>
        <w:t>Intertax</w:t>
      </w:r>
      <w:r>
        <w:rPr>
          <w:sz w:val="20"/>
        </w:rPr>
        <w:t>,</w:t>
      </w:r>
      <w:r>
        <w:rPr>
          <w:spacing w:val="-5"/>
          <w:sz w:val="20"/>
        </w:rPr>
        <w:t> </w:t>
      </w:r>
      <w:r>
        <w:rPr>
          <w:sz w:val="20"/>
        </w:rPr>
        <w:t>Vol.</w:t>
      </w:r>
      <w:r>
        <w:rPr>
          <w:spacing w:val="-5"/>
          <w:sz w:val="20"/>
        </w:rPr>
        <w:t> </w:t>
      </w:r>
      <w:r>
        <w:rPr>
          <w:sz w:val="20"/>
        </w:rPr>
        <w:t>36,</w:t>
      </w:r>
      <w:r>
        <w:rPr>
          <w:spacing w:val="-1"/>
          <w:sz w:val="20"/>
        </w:rPr>
        <w:t> </w:t>
      </w:r>
      <w:r>
        <w:rPr>
          <w:sz w:val="20"/>
        </w:rPr>
        <w:t>No.</w:t>
      </w:r>
      <w:r>
        <w:rPr>
          <w:spacing w:val="-5"/>
          <w:sz w:val="20"/>
        </w:rPr>
        <w:t> </w:t>
      </w:r>
      <w:r>
        <w:rPr>
          <w:sz w:val="20"/>
        </w:rPr>
        <w:t>4,</w:t>
      </w:r>
      <w:r>
        <w:rPr>
          <w:spacing w:val="-5"/>
          <w:sz w:val="20"/>
        </w:rPr>
        <w:t> </w:t>
      </w:r>
      <w:r>
        <w:rPr>
          <w:sz w:val="20"/>
        </w:rPr>
        <w:t>pp.</w:t>
      </w:r>
      <w:r>
        <w:rPr>
          <w:spacing w:val="-4"/>
          <w:sz w:val="20"/>
        </w:rPr>
        <w:t> </w:t>
      </w:r>
      <w:r>
        <w:rPr>
          <w:sz w:val="20"/>
        </w:rPr>
        <w:t>154-</w:t>
      </w:r>
      <w:r>
        <w:rPr>
          <w:spacing w:val="-4"/>
          <w:sz w:val="20"/>
        </w:rPr>
        <w:t>155.</w:t>
      </w:r>
    </w:p>
    <w:p>
      <w:pPr>
        <w:pStyle w:val="ListParagraph"/>
        <w:numPr>
          <w:ilvl w:val="0"/>
          <w:numId w:val="8"/>
        </w:numPr>
        <w:tabs>
          <w:tab w:pos="1089" w:val="left" w:leader="none"/>
        </w:tabs>
        <w:spacing w:line="240" w:lineRule="auto" w:before="0" w:after="0"/>
        <w:ind w:left="1089" w:right="305" w:hanging="610"/>
        <w:jc w:val="both"/>
        <w:rPr>
          <w:sz w:val="20"/>
        </w:rPr>
      </w:pPr>
      <w:r>
        <w:rPr>
          <w:sz w:val="20"/>
        </w:rPr>
        <w:t>Siluanov, A.G. (2019). “The activity</w:t>
      </w:r>
      <w:r>
        <w:rPr>
          <w:spacing w:val="-4"/>
          <w:sz w:val="20"/>
        </w:rPr>
        <w:t> </w:t>
      </w:r>
      <w:r>
        <w:rPr>
          <w:sz w:val="20"/>
        </w:rPr>
        <w:t>plan of the Ministry</w:t>
      </w:r>
      <w:r>
        <w:rPr>
          <w:spacing w:val="-4"/>
          <w:sz w:val="20"/>
        </w:rPr>
        <w:t> </w:t>
      </w:r>
      <w:r>
        <w:rPr>
          <w:sz w:val="20"/>
        </w:rPr>
        <w:t>of Finance of the Russian Federation for 2019</w:t>
      </w:r>
      <w:r>
        <w:rPr>
          <w:spacing w:val="80"/>
          <w:w w:val="150"/>
          <w:sz w:val="20"/>
        </w:rPr>
        <w:t> </w:t>
      </w:r>
      <w:r>
        <w:rPr>
          <w:sz w:val="20"/>
        </w:rPr>
        <w:t>–</w:t>
      </w:r>
      <w:r>
        <w:rPr>
          <w:spacing w:val="80"/>
          <w:w w:val="150"/>
          <w:sz w:val="20"/>
        </w:rPr>
        <w:t> </w:t>
      </w:r>
      <w:r>
        <w:rPr>
          <w:sz w:val="20"/>
        </w:rPr>
        <w:t>2024”,</w:t>
      </w:r>
      <w:r>
        <w:rPr>
          <w:spacing w:val="80"/>
          <w:w w:val="150"/>
          <w:sz w:val="20"/>
        </w:rPr>
        <w:t> </w:t>
      </w:r>
      <w:r>
        <w:rPr>
          <w:sz w:val="20"/>
        </w:rPr>
        <w:t>available</w:t>
      </w:r>
      <w:r>
        <w:rPr>
          <w:spacing w:val="80"/>
          <w:w w:val="150"/>
          <w:sz w:val="20"/>
        </w:rPr>
        <w:t> </w:t>
      </w:r>
      <w:r>
        <w:rPr>
          <w:sz w:val="20"/>
        </w:rPr>
        <w:t>at:</w:t>
      </w:r>
      <w:r>
        <w:rPr>
          <w:spacing w:val="80"/>
          <w:w w:val="150"/>
          <w:sz w:val="20"/>
        </w:rPr>
        <w:t> </w:t>
      </w:r>
      <w:hyperlink r:id="rId29">
        <w:r>
          <w:rPr>
            <w:color w:val="0462C1"/>
            <w:sz w:val="20"/>
            <w:u w:val="single" w:color="0462C1"/>
          </w:rPr>
          <w:t>https://rulaws.ru/acts/Plan-deyatelnosti-Ministerstva-finansov-</w:t>
        </w:r>
      </w:hyperlink>
    </w:p>
    <w:p>
      <w:pPr>
        <w:pStyle w:val="BodyText"/>
        <w:spacing w:before="1"/>
        <w:ind w:left="1089"/>
      </w:pPr>
      <w:hyperlink r:id="rId29">
        <w:r>
          <w:rPr>
            <w:color w:val="0462C1"/>
            <w:u w:val="single" w:color="0462C1"/>
          </w:rPr>
          <w:t>Rossiyskoy-Federatsii-na-2019</w:t>
        </w:r>
        <w:r>
          <w:rPr>
            <w:color w:val="0462C1"/>
            <w:spacing w:val="33"/>
          </w:rPr>
          <w:t>  </w:t>
        </w:r>
        <w:r>
          <w:rPr>
            <w:color w:val="0462C1"/>
            <w:u w:val="single" w:color="0462C1"/>
          </w:rPr>
          <w:t>2024-gody/</w:t>
        </w:r>
      </w:hyperlink>
      <w:r>
        <w:rPr>
          <w:color w:val="0462C1"/>
          <w:spacing w:val="-3"/>
        </w:rPr>
        <w:t> </w:t>
      </w:r>
      <w:r>
        <w:rPr/>
        <w:t>(accessed</w:t>
      </w:r>
      <w:r>
        <w:rPr>
          <w:spacing w:val="-5"/>
        </w:rPr>
        <w:t> </w:t>
      </w:r>
      <w:r>
        <w:rPr/>
        <w:t>27</w:t>
      </w:r>
      <w:r>
        <w:rPr>
          <w:spacing w:val="-10"/>
        </w:rPr>
        <w:t> </w:t>
      </w:r>
      <w:r>
        <w:rPr/>
        <w:t>March</w:t>
      </w:r>
      <w:r>
        <w:rPr>
          <w:spacing w:val="-5"/>
        </w:rPr>
        <w:t> </w:t>
      </w:r>
      <w:r>
        <w:rPr>
          <w:spacing w:val="-2"/>
        </w:rPr>
        <w:t>2020).</w:t>
      </w:r>
    </w:p>
    <w:p>
      <w:pPr>
        <w:pStyle w:val="ListParagraph"/>
        <w:numPr>
          <w:ilvl w:val="0"/>
          <w:numId w:val="8"/>
        </w:numPr>
        <w:tabs>
          <w:tab w:pos="1089" w:val="left" w:leader="none"/>
        </w:tabs>
        <w:spacing w:line="240" w:lineRule="auto" w:before="1" w:after="0"/>
        <w:ind w:left="1089" w:right="298" w:hanging="610"/>
        <w:jc w:val="both"/>
        <w:rPr>
          <w:color w:val="0462C1"/>
          <w:sz w:val="20"/>
        </w:rPr>
      </w:pPr>
      <w:r>
        <w:rPr>
          <w:sz w:val="20"/>
        </w:rPr>
        <w:t>Šimonová, J., Čentéš, J. and Beleš, A. (2019). “Financial analysis of innovative forms of money”, </w:t>
      </w:r>
      <w:r>
        <w:rPr>
          <w:i/>
          <w:sz w:val="20"/>
        </w:rPr>
        <w:t>Entrepreneurship and Sustainability, </w:t>
      </w:r>
      <w:r>
        <w:rPr>
          <w:sz w:val="20"/>
        </w:rPr>
        <w:t>Vol. 7, No. 1, pp. 69-80. </w:t>
      </w:r>
      <w:hyperlink r:id="rId30">
        <w:r>
          <w:rPr>
            <w:color w:val="0462C1"/>
            <w:spacing w:val="-2"/>
            <w:sz w:val="20"/>
            <w:u w:val="single" w:color="0462C1"/>
          </w:rPr>
          <w:t>http://doi.org/10.9770/jesi.2019.7.1(6)</w:t>
        </w:r>
      </w:hyperlink>
    </w:p>
    <w:p>
      <w:pPr>
        <w:pStyle w:val="ListParagraph"/>
        <w:numPr>
          <w:ilvl w:val="0"/>
          <w:numId w:val="8"/>
        </w:numPr>
        <w:tabs>
          <w:tab w:pos="1089" w:val="left" w:leader="none"/>
        </w:tabs>
        <w:spacing w:line="237" w:lineRule="auto" w:before="3" w:after="0"/>
        <w:ind w:left="1089" w:right="303" w:hanging="610"/>
        <w:jc w:val="both"/>
        <w:rPr>
          <w:sz w:val="20"/>
        </w:rPr>
      </w:pPr>
      <w:r>
        <w:rPr>
          <w:sz w:val="20"/>
        </w:rPr>
        <w:t>Skachkova, M.E., Lepihina, O.Y., Ignatova, V.V. (2018). “Information support of monitoring of technical condition of buildings in construction risk area”, Journal of Physics: Conference Series, Vol.1015. P. 042056. </w:t>
      </w:r>
      <w:hyperlink r:id="rId31">
        <w:r>
          <w:rPr>
            <w:sz w:val="20"/>
          </w:rPr>
          <w:t>https://doi.org/10.1088/1742-6596/1015/4/042056</w:t>
        </w:r>
      </w:hyperlink>
    </w:p>
    <w:p>
      <w:pPr>
        <w:pStyle w:val="ListParagraph"/>
        <w:numPr>
          <w:ilvl w:val="0"/>
          <w:numId w:val="8"/>
        </w:numPr>
        <w:tabs>
          <w:tab w:pos="1089" w:val="left" w:leader="none"/>
        </w:tabs>
        <w:spacing w:line="240" w:lineRule="auto" w:before="2" w:after="0"/>
        <w:ind w:left="1089" w:right="296" w:hanging="610"/>
        <w:jc w:val="both"/>
        <w:rPr>
          <w:sz w:val="20"/>
        </w:rPr>
      </w:pPr>
      <w:r>
        <w:rPr>
          <w:sz w:val="20"/>
        </w:rPr>
        <w:t>Supreme Court of Russian Federation. (2019). “The determination of the Supreme Court of the Russian Federation of 10.31.2019 N 307-ES19-14265 in the case N А13-13943/2015”, available</w:t>
      </w:r>
      <w:r>
        <w:rPr>
          <w:spacing w:val="40"/>
          <w:sz w:val="20"/>
        </w:rPr>
        <w:t> </w:t>
      </w:r>
      <w:r>
        <w:rPr>
          <w:sz w:val="20"/>
        </w:rPr>
        <w:t>at: </w:t>
      </w:r>
      <w:hyperlink r:id="rId32">
        <w:r>
          <w:rPr>
            <w:color w:val="0462C1"/>
            <w:sz w:val="20"/>
            <w:u w:val="single" w:color="0462C1"/>
          </w:rPr>
          <w:t>https://legalacts.ru/sud/opredelenie-verkhovnogo-suda-rf-ot-31102019-n-307-es19-14265-po-</w:t>
        </w:r>
      </w:hyperlink>
      <w:hyperlink r:id="rId32">
        <w:r>
          <w:rPr>
            <w:color w:val="0462C1"/>
            <w:sz w:val="20"/>
            <w:u w:val="single" w:color="0462C1"/>
          </w:rPr>
          <w:t>delu-n-a13-139432015/</w:t>
        </w:r>
      </w:hyperlink>
      <w:r>
        <w:rPr>
          <w:color w:val="0462C1"/>
          <w:sz w:val="20"/>
        </w:rPr>
        <w:t> </w:t>
      </w:r>
      <w:r>
        <w:rPr>
          <w:sz w:val="20"/>
        </w:rPr>
        <w:t>(accessed 27 March 2020).</w:t>
      </w:r>
    </w:p>
    <w:p>
      <w:pPr>
        <w:pStyle w:val="ListParagraph"/>
        <w:numPr>
          <w:ilvl w:val="0"/>
          <w:numId w:val="8"/>
        </w:numPr>
        <w:tabs>
          <w:tab w:pos="1089" w:val="left" w:leader="none"/>
        </w:tabs>
        <w:spacing w:line="240" w:lineRule="auto" w:before="2" w:after="0"/>
        <w:ind w:left="1089" w:right="301" w:hanging="610"/>
        <w:jc w:val="both"/>
        <w:rPr>
          <w:sz w:val="20"/>
        </w:rPr>
      </w:pPr>
      <w:r>
        <w:rPr>
          <w:sz w:val="20"/>
        </w:rPr>
        <w:t>Sutherland, G. and Supreme Court of The United States. (1934). “</w:t>
      </w:r>
      <w:r>
        <w:rPr>
          <w:i/>
          <w:sz w:val="20"/>
        </w:rPr>
        <w:t>U.S. Reports: Gregory v. Helvering,</w:t>
      </w:r>
      <w:r>
        <w:rPr>
          <w:i/>
          <w:spacing w:val="40"/>
          <w:sz w:val="20"/>
        </w:rPr>
        <w:t> </w:t>
      </w:r>
      <w:r>
        <w:rPr>
          <w:i/>
          <w:sz w:val="20"/>
        </w:rPr>
        <w:t>293</w:t>
      </w:r>
      <w:r>
        <w:rPr>
          <w:i/>
          <w:spacing w:val="40"/>
          <w:sz w:val="20"/>
        </w:rPr>
        <w:t> </w:t>
      </w:r>
      <w:r>
        <w:rPr>
          <w:i/>
          <w:sz w:val="20"/>
        </w:rPr>
        <w:t>U.S.</w:t>
      </w:r>
      <w:r>
        <w:rPr>
          <w:i/>
          <w:spacing w:val="40"/>
          <w:sz w:val="20"/>
        </w:rPr>
        <w:t> </w:t>
      </w:r>
      <w:r>
        <w:rPr>
          <w:i/>
          <w:sz w:val="20"/>
        </w:rPr>
        <w:t>465”</w:t>
      </w:r>
      <w:r>
        <w:rPr>
          <w:sz w:val="20"/>
        </w:rPr>
        <w:t>,</w:t>
      </w:r>
      <w:r>
        <w:rPr>
          <w:spacing w:val="40"/>
          <w:sz w:val="20"/>
        </w:rPr>
        <w:t> </w:t>
      </w:r>
      <w:r>
        <w:rPr>
          <w:sz w:val="20"/>
        </w:rPr>
        <w:t>available</w:t>
      </w:r>
      <w:r>
        <w:rPr>
          <w:spacing w:val="40"/>
          <w:sz w:val="20"/>
        </w:rPr>
        <w:t> </w:t>
      </w:r>
      <w:r>
        <w:rPr>
          <w:sz w:val="20"/>
        </w:rPr>
        <w:t>at:</w:t>
      </w:r>
      <w:r>
        <w:rPr>
          <w:spacing w:val="40"/>
          <w:sz w:val="20"/>
        </w:rPr>
        <w:t> </w:t>
      </w:r>
      <w:hyperlink r:id="rId33">
        <w:r>
          <w:rPr>
            <w:color w:val="0462C1"/>
            <w:sz w:val="20"/>
            <w:u w:val="single" w:color="0462C1"/>
          </w:rPr>
          <w:t>https://www.loc.gov/item/usrep293465/</w:t>
        </w:r>
      </w:hyperlink>
      <w:r>
        <w:rPr>
          <w:color w:val="0462C1"/>
          <w:spacing w:val="67"/>
          <w:sz w:val="20"/>
        </w:rPr>
        <w:t> </w:t>
      </w:r>
      <w:r>
        <w:rPr>
          <w:sz w:val="20"/>
        </w:rPr>
        <w:t>(accessed</w:t>
      </w:r>
      <w:r>
        <w:rPr>
          <w:spacing w:val="40"/>
          <w:sz w:val="20"/>
        </w:rPr>
        <w:t> </w:t>
      </w:r>
      <w:r>
        <w:rPr>
          <w:sz w:val="20"/>
        </w:rPr>
        <w:t>27</w:t>
      </w:r>
    </w:p>
    <w:p>
      <w:pPr>
        <w:pStyle w:val="BodyText"/>
        <w:spacing w:before="1"/>
        <w:ind w:left="1089"/>
      </w:pPr>
      <w:r>
        <w:rPr/>
        <w:t>March</w:t>
      </w:r>
      <w:r>
        <w:rPr>
          <w:spacing w:val="-4"/>
        </w:rPr>
        <w:t> </w:t>
      </w:r>
      <w:r>
        <w:rPr>
          <w:spacing w:val="-2"/>
        </w:rPr>
        <w:t>2020).</w:t>
      </w:r>
    </w:p>
    <w:p>
      <w:pPr>
        <w:pStyle w:val="ListParagraph"/>
        <w:numPr>
          <w:ilvl w:val="0"/>
          <w:numId w:val="8"/>
        </w:numPr>
        <w:tabs>
          <w:tab w:pos="1089" w:val="left" w:leader="none"/>
        </w:tabs>
        <w:spacing w:line="240" w:lineRule="auto" w:before="0" w:after="0"/>
        <w:ind w:left="1089" w:right="302" w:hanging="610"/>
        <w:jc w:val="both"/>
        <w:rPr>
          <w:sz w:val="20"/>
        </w:rPr>
      </w:pPr>
      <w:r>
        <w:rPr>
          <w:sz w:val="20"/>
        </w:rPr>
        <w:t>United Nation. (1987). “Vienna Convention on the</w:t>
      </w:r>
      <w:r>
        <w:rPr>
          <w:spacing w:val="-1"/>
          <w:sz w:val="20"/>
        </w:rPr>
        <w:t> </w:t>
      </w:r>
      <w:r>
        <w:rPr>
          <w:sz w:val="20"/>
        </w:rPr>
        <w:t>Law of</w:t>
      </w:r>
      <w:r>
        <w:rPr>
          <w:spacing w:val="-3"/>
          <w:sz w:val="20"/>
        </w:rPr>
        <w:t> </w:t>
      </w:r>
      <w:r>
        <w:rPr>
          <w:sz w:val="20"/>
        </w:rPr>
        <w:t>Treaties (concluded on 23 May</w:t>
      </w:r>
      <w:r>
        <w:rPr>
          <w:spacing w:val="-3"/>
          <w:sz w:val="20"/>
        </w:rPr>
        <w:t> </w:t>
      </w:r>
      <w:r>
        <w:rPr>
          <w:sz w:val="20"/>
        </w:rPr>
        <w:t>1969)”, United Nations, Treaty Series, New York, </w:t>
      </w:r>
      <w:hyperlink r:id="rId34">
        <w:r>
          <w:rPr>
            <w:sz w:val="20"/>
          </w:rPr>
          <w:t>Vol. 1155,</w:t>
        </w:r>
      </w:hyperlink>
      <w:r>
        <w:rPr>
          <w:sz w:val="20"/>
        </w:rPr>
        <w:t> p. 331, available at: </w:t>
      </w:r>
      <w:hyperlink r:id="rId35">
        <w:r>
          <w:rPr>
            <w:color w:val="0462C1"/>
            <w:sz w:val="20"/>
            <w:u w:val="single" w:color="0462C1"/>
          </w:rPr>
          <w:t>https://treaties.un.org/doc/Publication/UNTS/Volume%201155/v1155.pdf</w:t>
        </w:r>
      </w:hyperlink>
      <w:r>
        <w:rPr>
          <w:color w:val="0462C1"/>
          <w:sz w:val="20"/>
        </w:rPr>
        <w:t> </w:t>
      </w:r>
      <w:r>
        <w:rPr>
          <w:sz w:val="20"/>
        </w:rPr>
        <w:t>(accessed 27 March </w:t>
      </w:r>
      <w:r>
        <w:rPr>
          <w:spacing w:val="-2"/>
          <w:sz w:val="20"/>
        </w:rPr>
        <w:t>2020).</w:t>
      </w:r>
    </w:p>
    <w:p>
      <w:pPr>
        <w:pStyle w:val="ListParagraph"/>
        <w:numPr>
          <w:ilvl w:val="0"/>
          <w:numId w:val="8"/>
        </w:numPr>
        <w:tabs>
          <w:tab w:pos="1089" w:val="left" w:leader="none"/>
        </w:tabs>
        <w:spacing w:line="240" w:lineRule="auto" w:before="0" w:after="0"/>
        <w:ind w:left="1089" w:right="298" w:hanging="610"/>
        <w:jc w:val="both"/>
        <w:rPr>
          <w:sz w:val="20"/>
        </w:rPr>
      </w:pPr>
      <w:r>
        <w:rPr>
          <w:sz w:val="20"/>
        </w:rPr>
        <w:t>Valderrama, M. and Johanna, I. (2015). “Legitimacy and the Making of International Tax Law:</w:t>
      </w:r>
      <w:r>
        <w:rPr>
          <w:spacing w:val="40"/>
          <w:sz w:val="20"/>
        </w:rPr>
        <w:t> </w:t>
      </w:r>
      <w:r>
        <w:rPr>
          <w:sz w:val="20"/>
        </w:rPr>
        <w:t>The Challenges of Multilateralism”, </w:t>
      </w:r>
      <w:r>
        <w:rPr>
          <w:i/>
          <w:sz w:val="20"/>
        </w:rPr>
        <w:t>World Tax Journal, Journals IBFD, </w:t>
      </w:r>
      <w:r>
        <w:rPr>
          <w:sz w:val="20"/>
        </w:rPr>
        <w:t>Vol. 3, DOI: </w:t>
      </w:r>
      <w:hyperlink r:id="rId36">
        <w:r>
          <w:rPr>
            <w:color w:val="0462C1"/>
            <w:spacing w:val="-2"/>
            <w:sz w:val="20"/>
            <w:u w:val="single" w:color="0462C1"/>
          </w:rPr>
          <w:t>10.2139/ssrn.2528044</w:t>
        </w:r>
      </w:hyperlink>
    </w:p>
    <w:p>
      <w:pPr>
        <w:pStyle w:val="ListParagraph"/>
        <w:numPr>
          <w:ilvl w:val="0"/>
          <w:numId w:val="8"/>
        </w:numPr>
        <w:tabs>
          <w:tab w:pos="1089" w:val="left" w:leader="none"/>
        </w:tabs>
        <w:spacing w:line="240" w:lineRule="auto" w:before="0" w:after="0"/>
        <w:ind w:left="1089" w:right="297" w:hanging="610"/>
        <w:jc w:val="both"/>
        <w:rPr>
          <w:sz w:val="20"/>
        </w:rPr>
      </w:pPr>
      <w:r>
        <w:rPr>
          <w:sz w:val="20"/>
        </w:rPr>
        <w:t>Vandina, O., Mkrtychan, Z., Denisov, I. and Vechkinzova, Y. (2018). “The tax mechanism of managing the process of formation of information economy in modern Russia”, Entrepreneurship and Sustainability, Vol. 6, No. 2, pp. 830-839. </w:t>
      </w:r>
      <w:hyperlink r:id="rId37">
        <w:r>
          <w:rPr>
            <w:color w:val="0462C1"/>
            <w:sz w:val="20"/>
            <w:u w:val="single" w:color="0462C1"/>
          </w:rPr>
          <w:t>https://doi.org/10.9770/jesi.2018.6.2(24)</w:t>
        </w:r>
      </w:hyperlink>
    </w:p>
    <w:p>
      <w:pPr>
        <w:pStyle w:val="ListParagraph"/>
        <w:numPr>
          <w:ilvl w:val="0"/>
          <w:numId w:val="8"/>
        </w:numPr>
        <w:tabs>
          <w:tab w:pos="1089" w:val="left" w:leader="none"/>
        </w:tabs>
        <w:spacing w:line="240" w:lineRule="auto" w:before="0" w:after="0"/>
        <w:ind w:left="1089" w:right="297" w:hanging="610"/>
        <w:jc w:val="both"/>
        <w:rPr>
          <w:sz w:val="20"/>
        </w:rPr>
      </w:pPr>
      <w:r>
        <w:rPr>
          <w:sz w:val="20"/>
        </w:rPr>
        <w:t>Vogel, K. (2000). “The Influence of the OECD Commentaries on Treaty Interpretation”, </w:t>
      </w:r>
      <w:r>
        <w:rPr>
          <w:i/>
          <w:sz w:val="20"/>
        </w:rPr>
        <w:t>Bulletin for International Fiscal Documentation</w:t>
      </w:r>
      <w:r>
        <w:rPr>
          <w:sz w:val="20"/>
        </w:rPr>
        <w:t>, Vol. 54, No. 12, pp. 612 and 616.</w:t>
      </w:r>
    </w:p>
    <w:sectPr>
      <w:pgSz w:w="11910" w:h="16840"/>
      <w:pgMar w:header="709" w:footer="695" w:top="1320" w:bottom="880" w:left="1417"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370240">
              <wp:simplePos x="0" y="0"/>
              <wp:positionH relativeFrom="page">
                <wp:posOffset>902004</wp:posOffset>
              </wp:positionH>
              <wp:positionV relativeFrom="page">
                <wp:posOffset>10111211</wp:posOffset>
              </wp:positionV>
              <wp:extent cx="310451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104515"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27</w:t>
                          </w:r>
                          <w:r>
                            <w:rPr>
                              <w:b/>
                              <w:spacing w:val="-1"/>
                              <w:sz w:val="16"/>
                            </w:rPr>
                            <w:t> </w:t>
                          </w:r>
                          <w:r>
                            <w:rPr>
                              <w:b/>
                              <w:sz w:val="16"/>
                            </w:rPr>
                            <w:t>Mar</w:t>
                          </w:r>
                          <w:r>
                            <w:rPr>
                              <w:b/>
                              <w:spacing w:val="-3"/>
                              <w:sz w:val="16"/>
                            </w:rPr>
                            <w:t> </w:t>
                          </w:r>
                          <w:r>
                            <w:rPr>
                              <w:b/>
                              <w:sz w:val="16"/>
                            </w:rPr>
                            <w:t>2020</w:t>
                          </w:r>
                          <w:r>
                            <w:rPr>
                              <w:b/>
                              <w:spacing w:val="-1"/>
                              <w:sz w:val="16"/>
                            </w:rPr>
                            <w:t> </w:t>
                          </w:r>
                          <w:r>
                            <w:rPr>
                              <w:b/>
                              <w:sz w:val="16"/>
                            </w:rPr>
                            <w:t>|</w:t>
                          </w:r>
                          <w:r>
                            <w:rPr>
                              <w:b/>
                              <w:spacing w:val="-9"/>
                              <w:sz w:val="16"/>
                            </w:rPr>
                            <w:t> </w:t>
                          </w:r>
                          <w:r>
                            <w:rPr>
                              <w:b/>
                              <w:sz w:val="16"/>
                            </w:rPr>
                            <w:t>Revised:</w:t>
                          </w:r>
                          <w:r>
                            <w:rPr>
                              <w:b/>
                              <w:spacing w:val="-4"/>
                              <w:sz w:val="16"/>
                            </w:rPr>
                            <w:t> </w:t>
                          </w:r>
                          <w:r>
                            <w:rPr>
                              <w:b/>
                              <w:sz w:val="16"/>
                            </w:rPr>
                            <w:t>20</w:t>
                          </w:r>
                          <w:r>
                            <w:rPr>
                              <w:b/>
                              <w:spacing w:val="4"/>
                              <w:sz w:val="16"/>
                            </w:rPr>
                            <w:t> </w:t>
                          </w:r>
                          <w:r>
                            <w:rPr>
                              <w:b/>
                              <w:sz w:val="16"/>
                            </w:rPr>
                            <w:t>Apr</w:t>
                          </w:r>
                          <w:r>
                            <w:rPr>
                              <w:b/>
                              <w:spacing w:val="2"/>
                              <w:sz w:val="16"/>
                            </w:rPr>
                            <w:t> </w:t>
                          </w:r>
                          <w:r>
                            <w:rPr>
                              <w:b/>
                              <w:sz w:val="16"/>
                            </w:rPr>
                            <w:t>2020</w:t>
                          </w:r>
                          <w:r>
                            <w:rPr>
                              <w:b/>
                              <w:spacing w:val="-1"/>
                              <w:sz w:val="16"/>
                            </w:rPr>
                            <w:t> </w:t>
                          </w:r>
                          <w:r>
                            <w:rPr>
                              <w:b/>
                              <w:sz w:val="16"/>
                            </w:rPr>
                            <w:t>|</w:t>
                          </w:r>
                          <w:r>
                            <w:rPr>
                              <w:b/>
                              <w:spacing w:val="-5"/>
                              <w:sz w:val="16"/>
                            </w:rPr>
                            <w:t> </w:t>
                          </w:r>
                          <w:r>
                            <w:rPr>
                              <w:b/>
                              <w:sz w:val="16"/>
                            </w:rPr>
                            <w:t>Accepted:</w:t>
                          </w:r>
                          <w:r>
                            <w:rPr>
                              <w:b/>
                              <w:spacing w:val="-3"/>
                              <w:sz w:val="16"/>
                            </w:rPr>
                            <w:t> </w:t>
                          </w:r>
                          <w:r>
                            <w:rPr>
                              <w:b/>
                              <w:sz w:val="16"/>
                            </w:rPr>
                            <w:t>05</w:t>
                          </w:r>
                          <w:r>
                            <w:rPr>
                              <w:b/>
                              <w:spacing w:val="-1"/>
                              <w:sz w:val="16"/>
                            </w:rPr>
                            <w:t> </w:t>
                          </w:r>
                          <w:r>
                            <w:rPr>
                              <w:b/>
                              <w:sz w:val="16"/>
                            </w:rPr>
                            <w:t>May</w:t>
                          </w:r>
                          <w:r>
                            <w:rPr>
                              <w:b/>
                              <w:spacing w:val="-7"/>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96.158386pt;width:244.45pt;height:10.8pt;mso-position-horizontal-relative:page;mso-position-vertical-relative:page;z-index:-15946240" type="#_x0000_t202" id="docshape3"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27</w:t>
                    </w:r>
                    <w:r>
                      <w:rPr>
                        <w:b/>
                        <w:spacing w:val="-1"/>
                        <w:sz w:val="16"/>
                      </w:rPr>
                      <w:t> </w:t>
                    </w:r>
                    <w:r>
                      <w:rPr>
                        <w:b/>
                        <w:sz w:val="16"/>
                      </w:rPr>
                      <w:t>Mar</w:t>
                    </w:r>
                    <w:r>
                      <w:rPr>
                        <w:b/>
                        <w:spacing w:val="-3"/>
                        <w:sz w:val="16"/>
                      </w:rPr>
                      <w:t> </w:t>
                    </w:r>
                    <w:r>
                      <w:rPr>
                        <w:b/>
                        <w:sz w:val="16"/>
                      </w:rPr>
                      <w:t>2020</w:t>
                    </w:r>
                    <w:r>
                      <w:rPr>
                        <w:b/>
                        <w:spacing w:val="-1"/>
                        <w:sz w:val="16"/>
                      </w:rPr>
                      <w:t> </w:t>
                    </w:r>
                    <w:r>
                      <w:rPr>
                        <w:b/>
                        <w:sz w:val="16"/>
                      </w:rPr>
                      <w:t>|</w:t>
                    </w:r>
                    <w:r>
                      <w:rPr>
                        <w:b/>
                        <w:spacing w:val="-9"/>
                        <w:sz w:val="16"/>
                      </w:rPr>
                      <w:t> </w:t>
                    </w:r>
                    <w:r>
                      <w:rPr>
                        <w:b/>
                        <w:sz w:val="16"/>
                      </w:rPr>
                      <w:t>Revised:</w:t>
                    </w:r>
                    <w:r>
                      <w:rPr>
                        <w:b/>
                        <w:spacing w:val="-4"/>
                        <w:sz w:val="16"/>
                      </w:rPr>
                      <w:t> </w:t>
                    </w:r>
                    <w:r>
                      <w:rPr>
                        <w:b/>
                        <w:sz w:val="16"/>
                      </w:rPr>
                      <w:t>20</w:t>
                    </w:r>
                    <w:r>
                      <w:rPr>
                        <w:b/>
                        <w:spacing w:val="4"/>
                        <w:sz w:val="16"/>
                      </w:rPr>
                      <w:t> </w:t>
                    </w:r>
                    <w:r>
                      <w:rPr>
                        <w:b/>
                        <w:sz w:val="16"/>
                      </w:rPr>
                      <w:t>Apr</w:t>
                    </w:r>
                    <w:r>
                      <w:rPr>
                        <w:b/>
                        <w:spacing w:val="2"/>
                        <w:sz w:val="16"/>
                      </w:rPr>
                      <w:t> </w:t>
                    </w:r>
                    <w:r>
                      <w:rPr>
                        <w:b/>
                        <w:sz w:val="16"/>
                      </w:rPr>
                      <w:t>2020</w:t>
                    </w:r>
                    <w:r>
                      <w:rPr>
                        <w:b/>
                        <w:spacing w:val="-1"/>
                        <w:sz w:val="16"/>
                      </w:rPr>
                      <w:t> </w:t>
                    </w:r>
                    <w:r>
                      <w:rPr>
                        <w:b/>
                        <w:sz w:val="16"/>
                      </w:rPr>
                      <w:t>|</w:t>
                    </w:r>
                    <w:r>
                      <w:rPr>
                        <w:b/>
                        <w:spacing w:val="-5"/>
                        <w:sz w:val="16"/>
                      </w:rPr>
                      <w:t> </w:t>
                    </w:r>
                    <w:r>
                      <w:rPr>
                        <w:b/>
                        <w:sz w:val="16"/>
                      </w:rPr>
                      <w:t>Accepted:</w:t>
                    </w:r>
                    <w:r>
                      <w:rPr>
                        <w:b/>
                        <w:spacing w:val="-3"/>
                        <w:sz w:val="16"/>
                      </w:rPr>
                      <w:t> </w:t>
                    </w:r>
                    <w:r>
                      <w:rPr>
                        <w:b/>
                        <w:sz w:val="16"/>
                      </w:rPr>
                      <w:t>05</w:t>
                    </w:r>
                    <w:r>
                      <w:rPr>
                        <w:b/>
                        <w:spacing w:val="-1"/>
                        <w:sz w:val="16"/>
                      </w:rPr>
                      <w:t> </w:t>
                    </w:r>
                    <w:r>
                      <w:rPr>
                        <w:b/>
                        <w:sz w:val="16"/>
                      </w:rPr>
                      <w:t>May</w:t>
                    </w:r>
                    <w:r>
                      <w:rPr>
                        <w:b/>
                        <w:spacing w:val="-7"/>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370752">
              <wp:simplePos x="0" y="0"/>
              <wp:positionH relativeFrom="page">
                <wp:posOffset>6157848</wp:posOffset>
              </wp:positionH>
              <wp:positionV relativeFrom="page">
                <wp:posOffset>10111211</wp:posOffset>
              </wp:positionV>
              <wp:extent cx="347980" cy="13716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47980" cy="137160"/>
                      </a:xfrm>
                      <a:prstGeom prst="rect">
                        <a:avLst/>
                      </a:prstGeom>
                    </wps:spPr>
                    <wps:txbx>
                      <w:txbxContent>
                        <w:p>
                          <w:pPr>
                            <w:spacing w:before="11"/>
                            <w:ind w:left="60" w:right="0" w:firstLine="0"/>
                            <w:jc w:val="left"/>
                            <w:rPr>
                              <w:b/>
                              <w:sz w:val="16"/>
                            </w:rPr>
                          </w:pPr>
                          <w:r>
                            <w:rPr>
                              <w:b/>
                              <w:spacing w:val="-2"/>
                              <w:sz w:val="16"/>
                            </w:rPr>
                            <w:fldChar w:fldCharType="begin"/>
                          </w:r>
                          <w:r>
                            <w:rPr>
                              <w:b/>
                              <w:spacing w:val="-2"/>
                              <w:sz w:val="16"/>
                            </w:rPr>
                            <w:instrText> PAGE </w:instrText>
                          </w:r>
                          <w:r>
                            <w:rPr>
                              <w:b/>
                              <w:spacing w:val="-2"/>
                              <w:sz w:val="16"/>
                            </w:rPr>
                            <w:fldChar w:fldCharType="separate"/>
                          </w:r>
                          <w:r>
                            <w:rPr>
                              <w:b/>
                              <w:spacing w:val="-2"/>
                              <w:sz w:val="16"/>
                            </w:rPr>
                            <w:t>11234</w:t>
                          </w:r>
                          <w:r>
                            <w:rPr>
                              <w:b/>
                              <w:spacing w:val="-2"/>
                              <w:sz w:val="16"/>
                            </w:rPr>
                            <w:fldChar w:fldCharType="end"/>
                          </w:r>
                        </w:p>
                      </w:txbxContent>
                    </wps:txbx>
                    <wps:bodyPr wrap="square" lIns="0" tIns="0" rIns="0" bIns="0" rtlCol="0">
                      <a:noAutofit/>
                    </wps:bodyPr>
                  </wps:wsp>
                </a:graphicData>
              </a:graphic>
            </wp:anchor>
          </w:drawing>
        </mc:Choice>
        <mc:Fallback>
          <w:pict>
            <v:shape style="position:absolute;margin-left:484.869995pt;margin-top:796.158386pt;width:27.4pt;height:10.8pt;mso-position-horizontal-relative:page;mso-position-vertical-relative:page;z-index:-15945728" type="#_x0000_t202" id="docshape4" filled="false" stroked="false">
              <v:textbox inset="0,0,0,0">
                <w:txbxContent>
                  <w:p>
                    <w:pPr>
                      <w:spacing w:before="11"/>
                      <w:ind w:left="60" w:right="0" w:firstLine="0"/>
                      <w:jc w:val="left"/>
                      <w:rPr>
                        <w:b/>
                        <w:sz w:val="16"/>
                      </w:rPr>
                    </w:pPr>
                    <w:r>
                      <w:rPr>
                        <w:b/>
                        <w:spacing w:val="-2"/>
                        <w:sz w:val="16"/>
                      </w:rPr>
                      <w:fldChar w:fldCharType="begin"/>
                    </w:r>
                    <w:r>
                      <w:rPr>
                        <w:b/>
                        <w:spacing w:val="-2"/>
                        <w:sz w:val="16"/>
                      </w:rPr>
                      <w:instrText> PAGE </w:instrText>
                    </w:r>
                    <w:r>
                      <w:rPr>
                        <w:b/>
                        <w:spacing w:val="-2"/>
                        <w:sz w:val="16"/>
                      </w:rPr>
                      <w:fldChar w:fldCharType="separate"/>
                    </w:r>
                    <w:r>
                      <w:rPr>
                        <w:b/>
                        <w:spacing w:val="-2"/>
                        <w:sz w:val="16"/>
                      </w:rPr>
                      <w:t>11234</w:t>
                    </w:r>
                    <w:r>
                      <w:rPr>
                        <w:b/>
                        <w:spacing w:val="-2"/>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371264">
              <wp:simplePos x="0" y="0"/>
              <wp:positionH relativeFrom="page">
                <wp:posOffset>1127556</wp:posOffset>
              </wp:positionH>
              <wp:positionV relativeFrom="page">
                <wp:posOffset>10111211</wp:posOffset>
              </wp:positionV>
              <wp:extent cx="3104515" cy="1371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104515"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27</w:t>
                          </w:r>
                          <w:r>
                            <w:rPr>
                              <w:b/>
                              <w:spacing w:val="-1"/>
                              <w:sz w:val="16"/>
                            </w:rPr>
                            <w:t> </w:t>
                          </w:r>
                          <w:r>
                            <w:rPr>
                              <w:b/>
                              <w:sz w:val="16"/>
                            </w:rPr>
                            <w:t>Mar</w:t>
                          </w:r>
                          <w:r>
                            <w:rPr>
                              <w:b/>
                              <w:spacing w:val="-3"/>
                              <w:sz w:val="16"/>
                            </w:rPr>
                            <w:t> </w:t>
                          </w:r>
                          <w:r>
                            <w:rPr>
                              <w:b/>
                              <w:sz w:val="16"/>
                            </w:rPr>
                            <w:t>2020</w:t>
                          </w:r>
                          <w:r>
                            <w:rPr>
                              <w:b/>
                              <w:spacing w:val="-1"/>
                              <w:sz w:val="16"/>
                            </w:rPr>
                            <w:t> </w:t>
                          </w:r>
                          <w:r>
                            <w:rPr>
                              <w:b/>
                              <w:sz w:val="16"/>
                            </w:rPr>
                            <w:t>|</w:t>
                          </w:r>
                          <w:r>
                            <w:rPr>
                              <w:b/>
                              <w:spacing w:val="-9"/>
                              <w:sz w:val="16"/>
                            </w:rPr>
                            <w:t> </w:t>
                          </w:r>
                          <w:r>
                            <w:rPr>
                              <w:b/>
                              <w:sz w:val="16"/>
                            </w:rPr>
                            <w:t>Revised:</w:t>
                          </w:r>
                          <w:r>
                            <w:rPr>
                              <w:b/>
                              <w:spacing w:val="-4"/>
                              <w:sz w:val="16"/>
                            </w:rPr>
                            <w:t> </w:t>
                          </w:r>
                          <w:r>
                            <w:rPr>
                              <w:b/>
                              <w:sz w:val="16"/>
                            </w:rPr>
                            <w:t>20</w:t>
                          </w:r>
                          <w:r>
                            <w:rPr>
                              <w:b/>
                              <w:spacing w:val="4"/>
                              <w:sz w:val="16"/>
                            </w:rPr>
                            <w:t> </w:t>
                          </w:r>
                          <w:r>
                            <w:rPr>
                              <w:b/>
                              <w:sz w:val="16"/>
                            </w:rPr>
                            <w:t>Apr</w:t>
                          </w:r>
                          <w:r>
                            <w:rPr>
                              <w:b/>
                              <w:spacing w:val="2"/>
                              <w:sz w:val="16"/>
                            </w:rPr>
                            <w:t> </w:t>
                          </w:r>
                          <w:r>
                            <w:rPr>
                              <w:b/>
                              <w:sz w:val="16"/>
                            </w:rPr>
                            <w:t>2020</w:t>
                          </w:r>
                          <w:r>
                            <w:rPr>
                              <w:b/>
                              <w:spacing w:val="-1"/>
                              <w:sz w:val="16"/>
                            </w:rPr>
                            <w:t> </w:t>
                          </w:r>
                          <w:r>
                            <w:rPr>
                              <w:b/>
                              <w:sz w:val="16"/>
                            </w:rPr>
                            <w:t>|</w:t>
                          </w:r>
                          <w:r>
                            <w:rPr>
                              <w:b/>
                              <w:spacing w:val="-5"/>
                              <w:sz w:val="16"/>
                            </w:rPr>
                            <w:t> </w:t>
                          </w:r>
                          <w:r>
                            <w:rPr>
                              <w:b/>
                              <w:sz w:val="16"/>
                            </w:rPr>
                            <w:t>Accepted:</w:t>
                          </w:r>
                          <w:r>
                            <w:rPr>
                              <w:b/>
                              <w:spacing w:val="-3"/>
                              <w:sz w:val="16"/>
                            </w:rPr>
                            <w:t> </w:t>
                          </w:r>
                          <w:r>
                            <w:rPr>
                              <w:b/>
                              <w:sz w:val="16"/>
                            </w:rPr>
                            <w:t>05</w:t>
                          </w:r>
                          <w:r>
                            <w:rPr>
                              <w:b/>
                              <w:spacing w:val="-1"/>
                              <w:sz w:val="16"/>
                            </w:rPr>
                            <w:t> </w:t>
                          </w:r>
                          <w:r>
                            <w:rPr>
                              <w:b/>
                              <w:sz w:val="16"/>
                            </w:rPr>
                            <w:t>May</w:t>
                          </w:r>
                          <w:r>
                            <w:rPr>
                              <w:b/>
                              <w:spacing w:val="-7"/>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88.783997pt;margin-top:796.158386pt;width:244.45pt;height:10.8pt;mso-position-horizontal-relative:page;mso-position-vertical-relative:page;z-index:-15945216" type="#_x0000_t202" id="docshape5"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27</w:t>
                    </w:r>
                    <w:r>
                      <w:rPr>
                        <w:b/>
                        <w:spacing w:val="-1"/>
                        <w:sz w:val="16"/>
                      </w:rPr>
                      <w:t> </w:t>
                    </w:r>
                    <w:r>
                      <w:rPr>
                        <w:b/>
                        <w:sz w:val="16"/>
                      </w:rPr>
                      <w:t>Mar</w:t>
                    </w:r>
                    <w:r>
                      <w:rPr>
                        <w:b/>
                        <w:spacing w:val="-3"/>
                        <w:sz w:val="16"/>
                      </w:rPr>
                      <w:t> </w:t>
                    </w:r>
                    <w:r>
                      <w:rPr>
                        <w:b/>
                        <w:sz w:val="16"/>
                      </w:rPr>
                      <w:t>2020</w:t>
                    </w:r>
                    <w:r>
                      <w:rPr>
                        <w:b/>
                        <w:spacing w:val="-1"/>
                        <w:sz w:val="16"/>
                      </w:rPr>
                      <w:t> </w:t>
                    </w:r>
                    <w:r>
                      <w:rPr>
                        <w:b/>
                        <w:sz w:val="16"/>
                      </w:rPr>
                      <w:t>|</w:t>
                    </w:r>
                    <w:r>
                      <w:rPr>
                        <w:b/>
                        <w:spacing w:val="-9"/>
                        <w:sz w:val="16"/>
                      </w:rPr>
                      <w:t> </w:t>
                    </w:r>
                    <w:r>
                      <w:rPr>
                        <w:b/>
                        <w:sz w:val="16"/>
                      </w:rPr>
                      <w:t>Revised:</w:t>
                    </w:r>
                    <w:r>
                      <w:rPr>
                        <w:b/>
                        <w:spacing w:val="-4"/>
                        <w:sz w:val="16"/>
                      </w:rPr>
                      <w:t> </w:t>
                    </w:r>
                    <w:r>
                      <w:rPr>
                        <w:b/>
                        <w:sz w:val="16"/>
                      </w:rPr>
                      <w:t>20</w:t>
                    </w:r>
                    <w:r>
                      <w:rPr>
                        <w:b/>
                        <w:spacing w:val="4"/>
                        <w:sz w:val="16"/>
                      </w:rPr>
                      <w:t> </w:t>
                    </w:r>
                    <w:r>
                      <w:rPr>
                        <w:b/>
                        <w:sz w:val="16"/>
                      </w:rPr>
                      <w:t>Apr</w:t>
                    </w:r>
                    <w:r>
                      <w:rPr>
                        <w:b/>
                        <w:spacing w:val="2"/>
                        <w:sz w:val="16"/>
                      </w:rPr>
                      <w:t> </w:t>
                    </w:r>
                    <w:r>
                      <w:rPr>
                        <w:b/>
                        <w:sz w:val="16"/>
                      </w:rPr>
                      <w:t>2020</w:t>
                    </w:r>
                    <w:r>
                      <w:rPr>
                        <w:b/>
                        <w:spacing w:val="-1"/>
                        <w:sz w:val="16"/>
                      </w:rPr>
                      <w:t> </w:t>
                    </w:r>
                    <w:r>
                      <w:rPr>
                        <w:b/>
                        <w:sz w:val="16"/>
                      </w:rPr>
                      <w:t>|</w:t>
                    </w:r>
                    <w:r>
                      <w:rPr>
                        <w:b/>
                        <w:spacing w:val="-5"/>
                        <w:sz w:val="16"/>
                      </w:rPr>
                      <w:t> </w:t>
                    </w:r>
                    <w:r>
                      <w:rPr>
                        <w:b/>
                        <w:sz w:val="16"/>
                      </w:rPr>
                      <w:t>Accepted:</w:t>
                    </w:r>
                    <w:r>
                      <w:rPr>
                        <w:b/>
                        <w:spacing w:val="-3"/>
                        <w:sz w:val="16"/>
                      </w:rPr>
                      <w:t> </w:t>
                    </w:r>
                    <w:r>
                      <w:rPr>
                        <w:b/>
                        <w:sz w:val="16"/>
                      </w:rPr>
                      <w:t>05</w:t>
                    </w:r>
                    <w:r>
                      <w:rPr>
                        <w:b/>
                        <w:spacing w:val="-1"/>
                        <w:sz w:val="16"/>
                      </w:rPr>
                      <w:t> </w:t>
                    </w:r>
                    <w:r>
                      <w:rPr>
                        <w:b/>
                        <w:sz w:val="16"/>
                      </w:rPr>
                      <w:t>May</w:t>
                    </w:r>
                    <w:r>
                      <w:rPr>
                        <w:b/>
                        <w:spacing w:val="-7"/>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371776">
              <wp:simplePos x="0" y="0"/>
              <wp:positionH relativeFrom="page">
                <wp:posOffset>6383401</wp:posOffset>
              </wp:positionH>
              <wp:positionV relativeFrom="page">
                <wp:posOffset>10111211</wp:posOffset>
              </wp:positionV>
              <wp:extent cx="347980" cy="13716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47980" cy="137160"/>
                      </a:xfrm>
                      <a:prstGeom prst="rect">
                        <a:avLst/>
                      </a:prstGeom>
                    </wps:spPr>
                    <wps:txbx>
                      <w:txbxContent>
                        <w:p>
                          <w:pPr>
                            <w:spacing w:before="11"/>
                            <w:ind w:left="60" w:right="0" w:firstLine="0"/>
                            <w:jc w:val="left"/>
                            <w:rPr>
                              <w:b/>
                              <w:sz w:val="16"/>
                            </w:rPr>
                          </w:pPr>
                          <w:r>
                            <w:rPr>
                              <w:b/>
                              <w:spacing w:val="-2"/>
                              <w:sz w:val="16"/>
                            </w:rPr>
                            <w:fldChar w:fldCharType="begin"/>
                          </w:r>
                          <w:r>
                            <w:rPr>
                              <w:b/>
                              <w:spacing w:val="-2"/>
                              <w:sz w:val="16"/>
                            </w:rPr>
                            <w:instrText> PAGE </w:instrText>
                          </w:r>
                          <w:r>
                            <w:rPr>
                              <w:b/>
                              <w:spacing w:val="-2"/>
                              <w:sz w:val="16"/>
                            </w:rPr>
                            <w:fldChar w:fldCharType="separate"/>
                          </w:r>
                          <w:r>
                            <w:rPr>
                              <w:b/>
                              <w:spacing w:val="-2"/>
                              <w:sz w:val="16"/>
                            </w:rPr>
                            <w:t>11235</w:t>
                          </w:r>
                          <w:r>
                            <w:rPr>
                              <w:b/>
                              <w:spacing w:val="-2"/>
                              <w:sz w:val="16"/>
                            </w:rPr>
                            <w:fldChar w:fldCharType="end"/>
                          </w:r>
                        </w:p>
                      </w:txbxContent>
                    </wps:txbx>
                    <wps:bodyPr wrap="square" lIns="0" tIns="0" rIns="0" bIns="0" rtlCol="0">
                      <a:noAutofit/>
                    </wps:bodyPr>
                  </wps:wsp>
                </a:graphicData>
              </a:graphic>
            </wp:anchor>
          </w:drawing>
        </mc:Choice>
        <mc:Fallback>
          <w:pict>
            <v:shape style="position:absolute;margin-left:502.630005pt;margin-top:796.158386pt;width:27.4pt;height:10.8pt;mso-position-horizontal-relative:page;mso-position-vertical-relative:page;z-index:-15944704" type="#_x0000_t202" id="docshape6" filled="false" stroked="false">
              <v:textbox inset="0,0,0,0">
                <w:txbxContent>
                  <w:p>
                    <w:pPr>
                      <w:spacing w:before="11"/>
                      <w:ind w:left="60" w:right="0" w:firstLine="0"/>
                      <w:jc w:val="left"/>
                      <w:rPr>
                        <w:b/>
                        <w:sz w:val="16"/>
                      </w:rPr>
                    </w:pPr>
                    <w:r>
                      <w:rPr>
                        <w:b/>
                        <w:spacing w:val="-2"/>
                        <w:sz w:val="16"/>
                      </w:rPr>
                      <w:fldChar w:fldCharType="begin"/>
                    </w:r>
                    <w:r>
                      <w:rPr>
                        <w:b/>
                        <w:spacing w:val="-2"/>
                        <w:sz w:val="16"/>
                      </w:rPr>
                      <w:instrText> PAGE </w:instrText>
                    </w:r>
                    <w:r>
                      <w:rPr>
                        <w:b/>
                        <w:spacing w:val="-2"/>
                        <w:sz w:val="16"/>
                      </w:rPr>
                      <w:fldChar w:fldCharType="separate"/>
                    </w:r>
                    <w:r>
                      <w:rPr>
                        <w:b/>
                        <w:spacing w:val="-2"/>
                        <w:sz w:val="16"/>
                      </w:rPr>
                      <w:t>11235</w:t>
                    </w:r>
                    <w:r>
                      <w:rPr>
                        <w:b/>
                        <w:spacing w:val="-2"/>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369216">
              <wp:simplePos x="0" y="0"/>
              <wp:positionH relativeFrom="page">
                <wp:posOffset>902004</wp:posOffset>
              </wp:positionH>
              <wp:positionV relativeFrom="page">
                <wp:posOffset>437418</wp:posOffset>
              </wp:positionV>
              <wp:extent cx="3265804" cy="255904"/>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265804" cy="255904"/>
                      </a:xfrm>
                      <a:prstGeom prst="rect">
                        <a:avLst/>
                      </a:prstGeom>
                    </wps:spPr>
                    <wps:txbx>
                      <w:txbxContent>
                        <w:p>
                          <w:pPr>
                            <w:spacing w:line="244" w:lineRule="auto" w:before="11"/>
                            <w:ind w:left="20" w:right="0" w:firstLine="0"/>
                            <w:jc w:val="left"/>
                            <w:rPr>
                              <w:sz w:val="16"/>
                            </w:rPr>
                          </w:pPr>
                          <w:r>
                            <w:rPr>
                              <w:sz w:val="16"/>
                            </w:rPr>
                            <w:t>International</w:t>
                          </w:r>
                          <w:r>
                            <w:rPr>
                              <w:spacing w:val="22"/>
                              <w:sz w:val="16"/>
                            </w:rPr>
                            <w:t> </w:t>
                          </w:r>
                          <w:r>
                            <w:rPr>
                              <w:sz w:val="16"/>
                            </w:rPr>
                            <w:t>Journal</w:t>
                          </w:r>
                          <w:r>
                            <w:rPr>
                              <w:spacing w:val="22"/>
                              <w:sz w:val="16"/>
                            </w:rPr>
                            <w:t> </w:t>
                          </w:r>
                          <w:r>
                            <w:rPr>
                              <w:sz w:val="16"/>
                            </w:rPr>
                            <w:t>of</w:t>
                          </w:r>
                          <w:r>
                            <w:rPr>
                              <w:spacing w:val="18"/>
                              <w:sz w:val="16"/>
                            </w:rPr>
                            <w:t> </w:t>
                          </w:r>
                          <w:r>
                            <w:rPr>
                              <w:sz w:val="16"/>
                            </w:rPr>
                            <w:t>Psychosocial Rehabilitation,</w:t>
                          </w:r>
                          <w:r>
                            <w:rPr>
                              <w:spacing w:val="26"/>
                              <w:sz w:val="16"/>
                            </w:rPr>
                            <w:t> </w:t>
                          </w:r>
                          <w:r>
                            <w:rPr>
                              <w:sz w:val="16"/>
                            </w:rPr>
                            <w:t>Vol. 24, Issue 08, 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34.442368pt;width:257.1500pt;height:20.150pt;mso-position-horizontal-relative:page;mso-position-vertical-relative:page;z-index:-15947264" type="#_x0000_t202" id="docshape1" filled="false" stroked="false">
              <v:textbox inset="0,0,0,0">
                <w:txbxContent>
                  <w:p>
                    <w:pPr>
                      <w:spacing w:line="244" w:lineRule="auto" w:before="11"/>
                      <w:ind w:left="20" w:right="0" w:firstLine="0"/>
                      <w:jc w:val="left"/>
                      <w:rPr>
                        <w:sz w:val="16"/>
                      </w:rPr>
                    </w:pPr>
                    <w:r>
                      <w:rPr>
                        <w:sz w:val="16"/>
                      </w:rPr>
                      <w:t>International</w:t>
                    </w:r>
                    <w:r>
                      <w:rPr>
                        <w:spacing w:val="22"/>
                        <w:sz w:val="16"/>
                      </w:rPr>
                      <w:t> </w:t>
                    </w:r>
                    <w:r>
                      <w:rPr>
                        <w:sz w:val="16"/>
                      </w:rPr>
                      <w:t>Journal</w:t>
                    </w:r>
                    <w:r>
                      <w:rPr>
                        <w:spacing w:val="22"/>
                        <w:sz w:val="16"/>
                      </w:rPr>
                      <w:t> </w:t>
                    </w:r>
                    <w:r>
                      <w:rPr>
                        <w:sz w:val="16"/>
                      </w:rPr>
                      <w:t>of</w:t>
                    </w:r>
                    <w:r>
                      <w:rPr>
                        <w:spacing w:val="18"/>
                        <w:sz w:val="16"/>
                      </w:rPr>
                      <w:t> </w:t>
                    </w:r>
                    <w:r>
                      <w:rPr>
                        <w:sz w:val="16"/>
                      </w:rPr>
                      <w:t>Psychosocial Rehabilitation,</w:t>
                    </w:r>
                    <w:r>
                      <w:rPr>
                        <w:spacing w:val="26"/>
                        <w:sz w:val="16"/>
                      </w:rPr>
                      <w:t> </w:t>
                    </w:r>
                    <w:r>
                      <w:rPr>
                        <w:sz w:val="16"/>
                      </w:rPr>
                      <w:t>Vol. 24, Issue 08, 2020</w:t>
                    </w:r>
                    <w:r>
                      <w:rPr>
                        <w:spacing w:val="40"/>
                        <w:sz w:val="16"/>
                      </w:rPr>
                      <w:t> </w:t>
                    </w:r>
                    <w:r>
                      <w:rPr>
                        <w:sz w:val="16"/>
                      </w:rPr>
                      <w:t>ISSN: 1475-7192</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369728">
              <wp:simplePos x="0" y="0"/>
              <wp:positionH relativeFrom="page">
                <wp:posOffset>1127556</wp:posOffset>
              </wp:positionH>
              <wp:positionV relativeFrom="page">
                <wp:posOffset>437418</wp:posOffset>
              </wp:positionV>
              <wp:extent cx="3265804" cy="255904"/>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265804" cy="255904"/>
                      </a:xfrm>
                      <a:prstGeom prst="rect">
                        <a:avLst/>
                      </a:prstGeom>
                    </wps:spPr>
                    <wps:txbx>
                      <w:txbxContent>
                        <w:p>
                          <w:pPr>
                            <w:spacing w:line="244" w:lineRule="auto" w:before="11"/>
                            <w:ind w:left="20" w:right="0" w:firstLine="0"/>
                            <w:jc w:val="left"/>
                            <w:rPr>
                              <w:sz w:val="16"/>
                            </w:rPr>
                          </w:pPr>
                          <w:r>
                            <w:rPr>
                              <w:sz w:val="16"/>
                            </w:rPr>
                            <w:t>International</w:t>
                          </w:r>
                          <w:r>
                            <w:rPr>
                              <w:spacing w:val="22"/>
                              <w:sz w:val="16"/>
                            </w:rPr>
                            <w:t> </w:t>
                          </w:r>
                          <w:r>
                            <w:rPr>
                              <w:sz w:val="16"/>
                            </w:rPr>
                            <w:t>Journal</w:t>
                          </w:r>
                          <w:r>
                            <w:rPr>
                              <w:spacing w:val="22"/>
                              <w:sz w:val="16"/>
                            </w:rPr>
                            <w:t> </w:t>
                          </w:r>
                          <w:r>
                            <w:rPr>
                              <w:sz w:val="16"/>
                            </w:rPr>
                            <w:t>of</w:t>
                          </w:r>
                          <w:r>
                            <w:rPr>
                              <w:spacing w:val="18"/>
                              <w:sz w:val="16"/>
                            </w:rPr>
                            <w:t> </w:t>
                          </w:r>
                          <w:r>
                            <w:rPr>
                              <w:sz w:val="16"/>
                            </w:rPr>
                            <w:t>Psychosocial Rehabilitation,</w:t>
                          </w:r>
                          <w:r>
                            <w:rPr>
                              <w:spacing w:val="26"/>
                              <w:sz w:val="16"/>
                            </w:rPr>
                            <w:t> </w:t>
                          </w:r>
                          <w:r>
                            <w:rPr>
                              <w:sz w:val="16"/>
                            </w:rPr>
                            <w:t>Vol. 24, Issue 08, 2020</w:t>
                          </w:r>
                          <w:r>
                            <w:rPr>
                              <w:spacing w:val="40"/>
                              <w:sz w:val="16"/>
                            </w:rPr>
                            <w:t> </w:t>
                          </w:r>
                          <w:r>
                            <w:rPr>
                              <w:sz w:val="16"/>
                            </w:rPr>
                            <w:t>ISSN: 1475-7192</w:t>
                          </w:r>
                        </w:p>
                      </w:txbxContent>
                    </wps:txbx>
                    <wps:bodyPr wrap="square" lIns="0" tIns="0" rIns="0" bIns="0" rtlCol="0">
                      <a:noAutofit/>
                    </wps:bodyPr>
                  </wps:wsp>
                </a:graphicData>
              </a:graphic>
            </wp:anchor>
          </w:drawing>
        </mc:Choice>
        <mc:Fallback>
          <w:pict>
            <v:shape style="position:absolute;margin-left:88.783997pt;margin-top:34.442368pt;width:257.1500pt;height:20.150pt;mso-position-horizontal-relative:page;mso-position-vertical-relative:page;z-index:-15946752" type="#_x0000_t202" id="docshape2" filled="false" stroked="false">
              <v:textbox inset="0,0,0,0">
                <w:txbxContent>
                  <w:p>
                    <w:pPr>
                      <w:spacing w:line="244" w:lineRule="auto" w:before="11"/>
                      <w:ind w:left="20" w:right="0" w:firstLine="0"/>
                      <w:jc w:val="left"/>
                      <w:rPr>
                        <w:sz w:val="16"/>
                      </w:rPr>
                    </w:pPr>
                    <w:r>
                      <w:rPr>
                        <w:sz w:val="16"/>
                      </w:rPr>
                      <w:t>International</w:t>
                    </w:r>
                    <w:r>
                      <w:rPr>
                        <w:spacing w:val="22"/>
                        <w:sz w:val="16"/>
                      </w:rPr>
                      <w:t> </w:t>
                    </w:r>
                    <w:r>
                      <w:rPr>
                        <w:sz w:val="16"/>
                      </w:rPr>
                      <w:t>Journal</w:t>
                    </w:r>
                    <w:r>
                      <w:rPr>
                        <w:spacing w:val="22"/>
                        <w:sz w:val="16"/>
                      </w:rPr>
                      <w:t> </w:t>
                    </w:r>
                    <w:r>
                      <w:rPr>
                        <w:sz w:val="16"/>
                      </w:rPr>
                      <w:t>of</w:t>
                    </w:r>
                    <w:r>
                      <w:rPr>
                        <w:spacing w:val="18"/>
                        <w:sz w:val="16"/>
                      </w:rPr>
                      <w:t> </w:t>
                    </w:r>
                    <w:r>
                      <w:rPr>
                        <w:sz w:val="16"/>
                      </w:rPr>
                      <w:t>Psychosocial Rehabilitation,</w:t>
                    </w:r>
                    <w:r>
                      <w:rPr>
                        <w:spacing w:val="26"/>
                        <w:sz w:val="16"/>
                      </w:rPr>
                      <w:t> </w:t>
                    </w:r>
                    <w:r>
                      <w:rPr>
                        <w:sz w:val="16"/>
                      </w:rPr>
                      <w:t>Vol. 24, Issue 08, 2020</w:t>
                    </w:r>
                    <w:r>
                      <w:rPr>
                        <w:spacing w:val="40"/>
                        <w:sz w:val="16"/>
                      </w:rPr>
                      <w:t> </w:t>
                    </w:r>
                    <w:r>
                      <w:rPr>
                        <w:sz w:val="16"/>
                      </w:rPr>
                      <w:t>ISSN: 1475-7192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1"/>
      <w:numFmt w:val="decimal"/>
      <w:lvlText w:val="%1."/>
      <w:lvlJc w:val="left"/>
      <w:pPr>
        <w:ind w:left="1089" w:hanging="509"/>
        <w:jc w:val="right"/>
      </w:pPr>
      <w:rPr>
        <w:rFonts w:hint="default"/>
        <w:spacing w:val="0"/>
        <w:w w:val="100"/>
        <w:lang w:val="en-US" w:eastAsia="en-US" w:bidi="ar-SA"/>
      </w:rPr>
    </w:lvl>
    <w:lvl w:ilvl="1">
      <w:start w:val="0"/>
      <w:numFmt w:val="bullet"/>
      <w:lvlText w:val="•"/>
      <w:lvlJc w:val="left"/>
      <w:pPr>
        <w:ind w:left="1907" w:hanging="509"/>
      </w:pPr>
      <w:rPr>
        <w:rFonts w:hint="default"/>
        <w:lang w:val="en-US" w:eastAsia="en-US" w:bidi="ar-SA"/>
      </w:rPr>
    </w:lvl>
    <w:lvl w:ilvl="2">
      <w:start w:val="0"/>
      <w:numFmt w:val="bullet"/>
      <w:lvlText w:val="•"/>
      <w:lvlJc w:val="left"/>
      <w:pPr>
        <w:ind w:left="2734" w:hanging="509"/>
      </w:pPr>
      <w:rPr>
        <w:rFonts w:hint="default"/>
        <w:lang w:val="en-US" w:eastAsia="en-US" w:bidi="ar-SA"/>
      </w:rPr>
    </w:lvl>
    <w:lvl w:ilvl="3">
      <w:start w:val="0"/>
      <w:numFmt w:val="bullet"/>
      <w:lvlText w:val="•"/>
      <w:lvlJc w:val="left"/>
      <w:pPr>
        <w:ind w:left="3562" w:hanging="509"/>
      </w:pPr>
      <w:rPr>
        <w:rFonts w:hint="default"/>
        <w:lang w:val="en-US" w:eastAsia="en-US" w:bidi="ar-SA"/>
      </w:rPr>
    </w:lvl>
    <w:lvl w:ilvl="4">
      <w:start w:val="0"/>
      <w:numFmt w:val="bullet"/>
      <w:lvlText w:val="•"/>
      <w:lvlJc w:val="left"/>
      <w:pPr>
        <w:ind w:left="4389" w:hanging="509"/>
      </w:pPr>
      <w:rPr>
        <w:rFonts w:hint="default"/>
        <w:lang w:val="en-US" w:eastAsia="en-US" w:bidi="ar-SA"/>
      </w:rPr>
    </w:lvl>
    <w:lvl w:ilvl="5">
      <w:start w:val="0"/>
      <w:numFmt w:val="bullet"/>
      <w:lvlText w:val="•"/>
      <w:lvlJc w:val="left"/>
      <w:pPr>
        <w:ind w:left="5217" w:hanging="509"/>
      </w:pPr>
      <w:rPr>
        <w:rFonts w:hint="default"/>
        <w:lang w:val="en-US" w:eastAsia="en-US" w:bidi="ar-SA"/>
      </w:rPr>
    </w:lvl>
    <w:lvl w:ilvl="6">
      <w:start w:val="0"/>
      <w:numFmt w:val="bullet"/>
      <w:lvlText w:val="•"/>
      <w:lvlJc w:val="left"/>
      <w:pPr>
        <w:ind w:left="6044" w:hanging="509"/>
      </w:pPr>
      <w:rPr>
        <w:rFonts w:hint="default"/>
        <w:lang w:val="en-US" w:eastAsia="en-US" w:bidi="ar-SA"/>
      </w:rPr>
    </w:lvl>
    <w:lvl w:ilvl="7">
      <w:start w:val="0"/>
      <w:numFmt w:val="bullet"/>
      <w:lvlText w:val="•"/>
      <w:lvlJc w:val="left"/>
      <w:pPr>
        <w:ind w:left="6871" w:hanging="509"/>
      </w:pPr>
      <w:rPr>
        <w:rFonts w:hint="default"/>
        <w:lang w:val="en-US" w:eastAsia="en-US" w:bidi="ar-SA"/>
      </w:rPr>
    </w:lvl>
    <w:lvl w:ilvl="8">
      <w:start w:val="0"/>
      <w:numFmt w:val="bullet"/>
      <w:lvlText w:val="•"/>
      <w:lvlJc w:val="left"/>
      <w:pPr>
        <w:ind w:left="7699" w:hanging="509"/>
      </w:pPr>
      <w:rPr>
        <w:rFonts w:hint="default"/>
        <w:lang w:val="en-US" w:eastAsia="en-US" w:bidi="ar-SA"/>
      </w:rPr>
    </w:lvl>
  </w:abstractNum>
  <w:abstractNum w:abstractNumId="6">
    <w:multiLevelType w:val="hybridMultilevel"/>
    <w:lvl w:ilvl="0">
      <w:start w:val="1"/>
      <w:numFmt w:val="decimal"/>
      <w:lvlText w:val="%1)"/>
      <w:lvlJc w:val="left"/>
      <w:pPr>
        <w:ind w:left="378" w:hanging="706"/>
        <w:jc w:val="righ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1"/>
      <w:numFmt w:val="decimal"/>
      <w:lvlText w:val="%2)"/>
      <w:lvlJc w:val="left"/>
      <w:pPr>
        <w:ind w:left="1094" w:hanging="70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2">
      <w:start w:val="0"/>
      <w:numFmt w:val="bullet"/>
      <w:lvlText w:val="•"/>
      <w:lvlJc w:val="left"/>
      <w:pPr>
        <w:ind w:left="2017" w:hanging="701"/>
      </w:pPr>
      <w:rPr>
        <w:rFonts w:hint="default"/>
        <w:lang w:val="en-US" w:eastAsia="en-US" w:bidi="ar-SA"/>
      </w:rPr>
    </w:lvl>
    <w:lvl w:ilvl="3">
      <w:start w:val="0"/>
      <w:numFmt w:val="bullet"/>
      <w:lvlText w:val="•"/>
      <w:lvlJc w:val="left"/>
      <w:pPr>
        <w:ind w:left="2934" w:hanging="701"/>
      </w:pPr>
      <w:rPr>
        <w:rFonts w:hint="default"/>
        <w:lang w:val="en-US" w:eastAsia="en-US" w:bidi="ar-SA"/>
      </w:rPr>
    </w:lvl>
    <w:lvl w:ilvl="4">
      <w:start w:val="0"/>
      <w:numFmt w:val="bullet"/>
      <w:lvlText w:val="•"/>
      <w:lvlJc w:val="left"/>
      <w:pPr>
        <w:ind w:left="3851" w:hanging="701"/>
      </w:pPr>
      <w:rPr>
        <w:rFonts w:hint="default"/>
        <w:lang w:val="en-US" w:eastAsia="en-US" w:bidi="ar-SA"/>
      </w:rPr>
    </w:lvl>
    <w:lvl w:ilvl="5">
      <w:start w:val="0"/>
      <w:numFmt w:val="bullet"/>
      <w:lvlText w:val="•"/>
      <w:lvlJc w:val="left"/>
      <w:pPr>
        <w:ind w:left="4768" w:hanging="701"/>
      </w:pPr>
      <w:rPr>
        <w:rFonts w:hint="default"/>
        <w:lang w:val="en-US" w:eastAsia="en-US" w:bidi="ar-SA"/>
      </w:rPr>
    </w:lvl>
    <w:lvl w:ilvl="6">
      <w:start w:val="0"/>
      <w:numFmt w:val="bullet"/>
      <w:lvlText w:val="•"/>
      <w:lvlJc w:val="left"/>
      <w:pPr>
        <w:ind w:left="5685" w:hanging="701"/>
      </w:pPr>
      <w:rPr>
        <w:rFonts w:hint="default"/>
        <w:lang w:val="en-US" w:eastAsia="en-US" w:bidi="ar-SA"/>
      </w:rPr>
    </w:lvl>
    <w:lvl w:ilvl="7">
      <w:start w:val="0"/>
      <w:numFmt w:val="bullet"/>
      <w:lvlText w:val="•"/>
      <w:lvlJc w:val="left"/>
      <w:pPr>
        <w:ind w:left="6602" w:hanging="701"/>
      </w:pPr>
      <w:rPr>
        <w:rFonts w:hint="default"/>
        <w:lang w:val="en-US" w:eastAsia="en-US" w:bidi="ar-SA"/>
      </w:rPr>
    </w:lvl>
    <w:lvl w:ilvl="8">
      <w:start w:val="0"/>
      <w:numFmt w:val="bullet"/>
      <w:lvlText w:val="•"/>
      <w:lvlJc w:val="left"/>
      <w:pPr>
        <w:ind w:left="7519" w:hanging="701"/>
      </w:pPr>
      <w:rPr>
        <w:rFonts w:hint="default"/>
        <w:lang w:val="en-US" w:eastAsia="en-US" w:bidi="ar-SA"/>
      </w:rPr>
    </w:lvl>
  </w:abstractNum>
  <w:abstractNum w:abstractNumId="5">
    <w:multiLevelType w:val="hybridMultilevel"/>
    <w:lvl w:ilvl="0">
      <w:start w:val="1"/>
      <w:numFmt w:val="decimal"/>
      <w:lvlText w:val="%1)"/>
      <w:lvlJc w:val="left"/>
      <w:pPr>
        <w:ind w:left="23" w:hanging="250"/>
        <w:jc w:val="righ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953" w:hanging="250"/>
      </w:pPr>
      <w:rPr>
        <w:rFonts w:hint="default"/>
        <w:lang w:val="en-US" w:eastAsia="en-US" w:bidi="ar-SA"/>
      </w:rPr>
    </w:lvl>
    <w:lvl w:ilvl="2">
      <w:start w:val="0"/>
      <w:numFmt w:val="bullet"/>
      <w:lvlText w:val="•"/>
      <w:lvlJc w:val="left"/>
      <w:pPr>
        <w:ind w:left="1886" w:hanging="250"/>
      </w:pPr>
      <w:rPr>
        <w:rFonts w:hint="default"/>
        <w:lang w:val="en-US" w:eastAsia="en-US" w:bidi="ar-SA"/>
      </w:rPr>
    </w:lvl>
    <w:lvl w:ilvl="3">
      <w:start w:val="0"/>
      <w:numFmt w:val="bullet"/>
      <w:lvlText w:val="•"/>
      <w:lvlJc w:val="left"/>
      <w:pPr>
        <w:ind w:left="2820" w:hanging="250"/>
      </w:pPr>
      <w:rPr>
        <w:rFonts w:hint="default"/>
        <w:lang w:val="en-US" w:eastAsia="en-US" w:bidi="ar-SA"/>
      </w:rPr>
    </w:lvl>
    <w:lvl w:ilvl="4">
      <w:start w:val="0"/>
      <w:numFmt w:val="bullet"/>
      <w:lvlText w:val="•"/>
      <w:lvlJc w:val="left"/>
      <w:pPr>
        <w:ind w:left="3753" w:hanging="250"/>
      </w:pPr>
      <w:rPr>
        <w:rFonts w:hint="default"/>
        <w:lang w:val="en-US" w:eastAsia="en-US" w:bidi="ar-SA"/>
      </w:rPr>
    </w:lvl>
    <w:lvl w:ilvl="5">
      <w:start w:val="0"/>
      <w:numFmt w:val="bullet"/>
      <w:lvlText w:val="•"/>
      <w:lvlJc w:val="left"/>
      <w:pPr>
        <w:ind w:left="4687" w:hanging="250"/>
      </w:pPr>
      <w:rPr>
        <w:rFonts w:hint="default"/>
        <w:lang w:val="en-US" w:eastAsia="en-US" w:bidi="ar-SA"/>
      </w:rPr>
    </w:lvl>
    <w:lvl w:ilvl="6">
      <w:start w:val="0"/>
      <w:numFmt w:val="bullet"/>
      <w:lvlText w:val="•"/>
      <w:lvlJc w:val="left"/>
      <w:pPr>
        <w:ind w:left="5620" w:hanging="250"/>
      </w:pPr>
      <w:rPr>
        <w:rFonts w:hint="default"/>
        <w:lang w:val="en-US" w:eastAsia="en-US" w:bidi="ar-SA"/>
      </w:rPr>
    </w:lvl>
    <w:lvl w:ilvl="7">
      <w:start w:val="0"/>
      <w:numFmt w:val="bullet"/>
      <w:lvlText w:val="•"/>
      <w:lvlJc w:val="left"/>
      <w:pPr>
        <w:ind w:left="6553" w:hanging="250"/>
      </w:pPr>
      <w:rPr>
        <w:rFonts w:hint="default"/>
        <w:lang w:val="en-US" w:eastAsia="en-US" w:bidi="ar-SA"/>
      </w:rPr>
    </w:lvl>
    <w:lvl w:ilvl="8">
      <w:start w:val="0"/>
      <w:numFmt w:val="bullet"/>
      <w:lvlText w:val="•"/>
      <w:lvlJc w:val="left"/>
      <w:pPr>
        <w:ind w:left="7487" w:hanging="250"/>
      </w:pPr>
      <w:rPr>
        <w:rFonts w:hint="default"/>
        <w:lang w:val="en-US" w:eastAsia="en-US" w:bidi="ar-SA"/>
      </w:rPr>
    </w:lvl>
  </w:abstractNum>
  <w:abstractNum w:abstractNumId="4">
    <w:multiLevelType w:val="hybridMultilevel"/>
    <w:lvl w:ilvl="0">
      <w:start w:val="0"/>
      <w:numFmt w:val="bullet"/>
      <w:lvlText w:val="-"/>
      <w:lvlJc w:val="left"/>
      <w:pPr>
        <w:ind w:left="378" w:hanging="135"/>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277" w:hanging="135"/>
      </w:pPr>
      <w:rPr>
        <w:rFonts w:hint="default"/>
        <w:lang w:val="en-US" w:eastAsia="en-US" w:bidi="ar-SA"/>
      </w:rPr>
    </w:lvl>
    <w:lvl w:ilvl="2">
      <w:start w:val="0"/>
      <w:numFmt w:val="bullet"/>
      <w:lvlText w:val="•"/>
      <w:lvlJc w:val="left"/>
      <w:pPr>
        <w:ind w:left="2174" w:hanging="135"/>
      </w:pPr>
      <w:rPr>
        <w:rFonts w:hint="default"/>
        <w:lang w:val="en-US" w:eastAsia="en-US" w:bidi="ar-SA"/>
      </w:rPr>
    </w:lvl>
    <w:lvl w:ilvl="3">
      <w:start w:val="0"/>
      <w:numFmt w:val="bullet"/>
      <w:lvlText w:val="•"/>
      <w:lvlJc w:val="left"/>
      <w:pPr>
        <w:ind w:left="3072" w:hanging="135"/>
      </w:pPr>
      <w:rPr>
        <w:rFonts w:hint="default"/>
        <w:lang w:val="en-US" w:eastAsia="en-US" w:bidi="ar-SA"/>
      </w:rPr>
    </w:lvl>
    <w:lvl w:ilvl="4">
      <w:start w:val="0"/>
      <w:numFmt w:val="bullet"/>
      <w:lvlText w:val="•"/>
      <w:lvlJc w:val="left"/>
      <w:pPr>
        <w:ind w:left="3969" w:hanging="135"/>
      </w:pPr>
      <w:rPr>
        <w:rFonts w:hint="default"/>
        <w:lang w:val="en-US" w:eastAsia="en-US" w:bidi="ar-SA"/>
      </w:rPr>
    </w:lvl>
    <w:lvl w:ilvl="5">
      <w:start w:val="0"/>
      <w:numFmt w:val="bullet"/>
      <w:lvlText w:val="•"/>
      <w:lvlJc w:val="left"/>
      <w:pPr>
        <w:ind w:left="4867" w:hanging="135"/>
      </w:pPr>
      <w:rPr>
        <w:rFonts w:hint="default"/>
        <w:lang w:val="en-US" w:eastAsia="en-US" w:bidi="ar-SA"/>
      </w:rPr>
    </w:lvl>
    <w:lvl w:ilvl="6">
      <w:start w:val="0"/>
      <w:numFmt w:val="bullet"/>
      <w:lvlText w:val="•"/>
      <w:lvlJc w:val="left"/>
      <w:pPr>
        <w:ind w:left="5764" w:hanging="135"/>
      </w:pPr>
      <w:rPr>
        <w:rFonts w:hint="default"/>
        <w:lang w:val="en-US" w:eastAsia="en-US" w:bidi="ar-SA"/>
      </w:rPr>
    </w:lvl>
    <w:lvl w:ilvl="7">
      <w:start w:val="0"/>
      <w:numFmt w:val="bullet"/>
      <w:lvlText w:val="•"/>
      <w:lvlJc w:val="left"/>
      <w:pPr>
        <w:ind w:left="6661" w:hanging="135"/>
      </w:pPr>
      <w:rPr>
        <w:rFonts w:hint="default"/>
        <w:lang w:val="en-US" w:eastAsia="en-US" w:bidi="ar-SA"/>
      </w:rPr>
    </w:lvl>
    <w:lvl w:ilvl="8">
      <w:start w:val="0"/>
      <w:numFmt w:val="bullet"/>
      <w:lvlText w:val="•"/>
      <w:lvlJc w:val="left"/>
      <w:pPr>
        <w:ind w:left="7559" w:hanging="135"/>
      </w:pPr>
      <w:rPr>
        <w:rFonts w:hint="default"/>
        <w:lang w:val="en-US" w:eastAsia="en-US" w:bidi="ar-SA"/>
      </w:rPr>
    </w:lvl>
  </w:abstractNum>
  <w:abstractNum w:abstractNumId="3">
    <w:multiLevelType w:val="hybridMultilevel"/>
    <w:lvl w:ilvl="0">
      <w:start w:val="0"/>
      <w:numFmt w:val="bullet"/>
      <w:lvlText w:val=""/>
      <w:lvlJc w:val="left"/>
      <w:pPr>
        <w:ind w:left="739" w:hanging="702"/>
      </w:pPr>
      <w:rPr>
        <w:rFonts w:hint="default" w:ascii="Symbol" w:hAnsi="Symbol" w:eastAsia="Symbol" w:cs="Symbol"/>
        <w:b w:val="0"/>
        <w:bCs w:val="0"/>
        <w:i w:val="0"/>
        <w:iCs w:val="0"/>
        <w:spacing w:val="0"/>
        <w:w w:val="100"/>
        <w:sz w:val="20"/>
        <w:szCs w:val="20"/>
        <w:lang w:val="en-US" w:eastAsia="en-US" w:bidi="ar-SA"/>
      </w:rPr>
    </w:lvl>
    <w:lvl w:ilvl="1">
      <w:start w:val="0"/>
      <w:numFmt w:val="bullet"/>
      <w:lvlText w:val=""/>
      <w:lvlJc w:val="left"/>
      <w:pPr>
        <w:ind w:left="1094" w:hanging="701"/>
      </w:pPr>
      <w:rPr>
        <w:rFonts w:hint="default" w:ascii="Symbol" w:hAnsi="Symbol" w:eastAsia="Symbol" w:cs="Symbol"/>
        <w:b w:val="0"/>
        <w:bCs w:val="0"/>
        <w:i w:val="0"/>
        <w:iCs w:val="0"/>
        <w:spacing w:val="0"/>
        <w:w w:val="100"/>
        <w:sz w:val="20"/>
        <w:szCs w:val="20"/>
        <w:lang w:val="en-US" w:eastAsia="en-US" w:bidi="ar-SA"/>
      </w:rPr>
    </w:lvl>
    <w:lvl w:ilvl="2">
      <w:start w:val="0"/>
      <w:numFmt w:val="bullet"/>
      <w:lvlText w:val="•"/>
      <w:lvlJc w:val="left"/>
      <w:pPr>
        <w:ind w:left="2017" w:hanging="701"/>
      </w:pPr>
      <w:rPr>
        <w:rFonts w:hint="default"/>
        <w:lang w:val="en-US" w:eastAsia="en-US" w:bidi="ar-SA"/>
      </w:rPr>
    </w:lvl>
    <w:lvl w:ilvl="3">
      <w:start w:val="0"/>
      <w:numFmt w:val="bullet"/>
      <w:lvlText w:val="•"/>
      <w:lvlJc w:val="left"/>
      <w:pPr>
        <w:ind w:left="2934" w:hanging="701"/>
      </w:pPr>
      <w:rPr>
        <w:rFonts w:hint="default"/>
        <w:lang w:val="en-US" w:eastAsia="en-US" w:bidi="ar-SA"/>
      </w:rPr>
    </w:lvl>
    <w:lvl w:ilvl="4">
      <w:start w:val="0"/>
      <w:numFmt w:val="bullet"/>
      <w:lvlText w:val="•"/>
      <w:lvlJc w:val="left"/>
      <w:pPr>
        <w:ind w:left="3851" w:hanging="701"/>
      </w:pPr>
      <w:rPr>
        <w:rFonts w:hint="default"/>
        <w:lang w:val="en-US" w:eastAsia="en-US" w:bidi="ar-SA"/>
      </w:rPr>
    </w:lvl>
    <w:lvl w:ilvl="5">
      <w:start w:val="0"/>
      <w:numFmt w:val="bullet"/>
      <w:lvlText w:val="•"/>
      <w:lvlJc w:val="left"/>
      <w:pPr>
        <w:ind w:left="4768" w:hanging="701"/>
      </w:pPr>
      <w:rPr>
        <w:rFonts w:hint="default"/>
        <w:lang w:val="en-US" w:eastAsia="en-US" w:bidi="ar-SA"/>
      </w:rPr>
    </w:lvl>
    <w:lvl w:ilvl="6">
      <w:start w:val="0"/>
      <w:numFmt w:val="bullet"/>
      <w:lvlText w:val="•"/>
      <w:lvlJc w:val="left"/>
      <w:pPr>
        <w:ind w:left="5685" w:hanging="701"/>
      </w:pPr>
      <w:rPr>
        <w:rFonts w:hint="default"/>
        <w:lang w:val="en-US" w:eastAsia="en-US" w:bidi="ar-SA"/>
      </w:rPr>
    </w:lvl>
    <w:lvl w:ilvl="7">
      <w:start w:val="0"/>
      <w:numFmt w:val="bullet"/>
      <w:lvlText w:val="•"/>
      <w:lvlJc w:val="left"/>
      <w:pPr>
        <w:ind w:left="6602" w:hanging="701"/>
      </w:pPr>
      <w:rPr>
        <w:rFonts w:hint="default"/>
        <w:lang w:val="en-US" w:eastAsia="en-US" w:bidi="ar-SA"/>
      </w:rPr>
    </w:lvl>
    <w:lvl w:ilvl="8">
      <w:start w:val="0"/>
      <w:numFmt w:val="bullet"/>
      <w:lvlText w:val="•"/>
      <w:lvlJc w:val="left"/>
      <w:pPr>
        <w:ind w:left="7519" w:hanging="701"/>
      </w:pPr>
      <w:rPr>
        <w:rFonts w:hint="default"/>
        <w:lang w:val="en-US" w:eastAsia="en-US" w:bidi="ar-SA"/>
      </w:rPr>
    </w:lvl>
  </w:abstractNum>
  <w:abstractNum w:abstractNumId="2">
    <w:multiLevelType w:val="hybridMultilevel"/>
    <w:lvl w:ilvl="0">
      <w:start w:val="4"/>
      <w:numFmt w:val="decimal"/>
      <w:lvlText w:val="%1"/>
      <w:lvlJc w:val="left"/>
      <w:pPr>
        <w:ind w:left="1449" w:hanging="360"/>
        <w:jc w:val="left"/>
      </w:pPr>
      <w:rPr>
        <w:rFonts w:hint="default"/>
        <w:lang w:val="en-US" w:eastAsia="en-US" w:bidi="ar-SA"/>
      </w:rPr>
    </w:lvl>
    <w:lvl w:ilvl="1">
      <w:start w:val="1"/>
      <w:numFmt w:val="decimal"/>
      <w:lvlText w:val="%1.%2"/>
      <w:lvlJc w:val="left"/>
      <w:pPr>
        <w:ind w:left="1449" w:hanging="360"/>
        <w:jc w:val="right"/>
      </w:pPr>
      <w:rPr>
        <w:rFonts w:hint="default" w:ascii="Times New Roman" w:hAnsi="Times New Roman" w:eastAsia="Times New Roman" w:cs="Times New Roman"/>
        <w:b/>
        <w:bCs/>
        <w:i w:val="0"/>
        <w:iCs w:val="0"/>
        <w:spacing w:val="0"/>
        <w:w w:val="100"/>
        <w:sz w:val="20"/>
        <w:szCs w:val="20"/>
        <w:lang w:val="en-US" w:eastAsia="en-US" w:bidi="ar-SA"/>
      </w:rPr>
    </w:lvl>
    <w:lvl w:ilvl="2">
      <w:start w:val="0"/>
      <w:numFmt w:val="bullet"/>
      <w:lvlText w:val="•"/>
      <w:lvlJc w:val="left"/>
      <w:pPr>
        <w:ind w:left="3022" w:hanging="360"/>
      </w:pPr>
      <w:rPr>
        <w:rFonts w:hint="default"/>
        <w:lang w:val="en-US" w:eastAsia="en-US" w:bidi="ar-SA"/>
      </w:rPr>
    </w:lvl>
    <w:lvl w:ilvl="3">
      <w:start w:val="0"/>
      <w:numFmt w:val="bullet"/>
      <w:lvlText w:val="•"/>
      <w:lvlJc w:val="left"/>
      <w:pPr>
        <w:ind w:left="3814" w:hanging="360"/>
      </w:pPr>
      <w:rPr>
        <w:rFonts w:hint="default"/>
        <w:lang w:val="en-US" w:eastAsia="en-US" w:bidi="ar-SA"/>
      </w:rPr>
    </w:lvl>
    <w:lvl w:ilvl="4">
      <w:start w:val="0"/>
      <w:numFmt w:val="bullet"/>
      <w:lvlText w:val="•"/>
      <w:lvlJc w:val="left"/>
      <w:pPr>
        <w:ind w:left="4605" w:hanging="360"/>
      </w:pPr>
      <w:rPr>
        <w:rFonts w:hint="default"/>
        <w:lang w:val="en-US" w:eastAsia="en-US" w:bidi="ar-SA"/>
      </w:rPr>
    </w:lvl>
    <w:lvl w:ilvl="5">
      <w:start w:val="0"/>
      <w:numFmt w:val="bullet"/>
      <w:lvlText w:val="•"/>
      <w:lvlJc w:val="left"/>
      <w:pPr>
        <w:ind w:left="5397" w:hanging="360"/>
      </w:pPr>
      <w:rPr>
        <w:rFonts w:hint="default"/>
        <w:lang w:val="en-US" w:eastAsia="en-US" w:bidi="ar-SA"/>
      </w:rPr>
    </w:lvl>
    <w:lvl w:ilvl="6">
      <w:start w:val="0"/>
      <w:numFmt w:val="bullet"/>
      <w:lvlText w:val="•"/>
      <w:lvlJc w:val="left"/>
      <w:pPr>
        <w:ind w:left="6188" w:hanging="360"/>
      </w:pPr>
      <w:rPr>
        <w:rFonts w:hint="default"/>
        <w:lang w:val="en-US" w:eastAsia="en-US" w:bidi="ar-SA"/>
      </w:rPr>
    </w:lvl>
    <w:lvl w:ilvl="7">
      <w:start w:val="0"/>
      <w:numFmt w:val="bullet"/>
      <w:lvlText w:val="•"/>
      <w:lvlJc w:val="left"/>
      <w:pPr>
        <w:ind w:left="6979" w:hanging="360"/>
      </w:pPr>
      <w:rPr>
        <w:rFonts w:hint="default"/>
        <w:lang w:val="en-US" w:eastAsia="en-US" w:bidi="ar-SA"/>
      </w:rPr>
    </w:lvl>
    <w:lvl w:ilvl="8">
      <w:start w:val="0"/>
      <w:numFmt w:val="bullet"/>
      <w:lvlText w:val="•"/>
      <w:lvlJc w:val="left"/>
      <w:pPr>
        <w:ind w:left="7771" w:hanging="360"/>
      </w:pPr>
      <w:rPr>
        <w:rFonts w:hint="default"/>
        <w:lang w:val="en-US" w:eastAsia="en-US" w:bidi="ar-SA"/>
      </w:rPr>
    </w:lvl>
  </w:abstractNum>
  <w:abstractNum w:abstractNumId="1">
    <w:multiLevelType w:val="hybridMultilevel"/>
    <w:lvl w:ilvl="0">
      <w:start w:val="0"/>
      <w:numFmt w:val="bullet"/>
      <w:lvlText w:val="●"/>
      <w:lvlJc w:val="left"/>
      <w:pPr>
        <w:ind w:left="1267" w:hanging="178"/>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2069" w:hanging="178"/>
      </w:pPr>
      <w:rPr>
        <w:rFonts w:hint="default"/>
        <w:lang w:val="en-US" w:eastAsia="en-US" w:bidi="ar-SA"/>
      </w:rPr>
    </w:lvl>
    <w:lvl w:ilvl="2">
      <w:start w:val="0"/>
      <w:numFmt w:val="bullet"/>
      <w:lvlText w:val="•"/>
      <w:lvlJc w:val="left"/>
      <w:pPr>
        <w:ind w:left="2878" w:hanging="178"/>
      </w:pPr>
      <w:rPr>
        <w:rFonts w:hint="default"/>
        <w:lang w:val="en-US" w:eastAsia="en-US" w:bidi="ar-SA"/>
      </w:rPr>
    </w:lvl>
    <w:lvl w:ilvl="3">
      <w:start w:val="0"/>
      <w:numFmt w:val="bullet"/>
      <w:lvlText w:val="•"/>
      <w:lvlJc w:val="left"/>
      <w:pPr>
        <w:ind w:left="3688" w:hanging="178"/>
      </w:pPr>
      <w:rPr>
        <w:rFonts w:hint="default"/>
        <w:lang w:val="en-US" w:eastAsia="en-US" w:bidi="ar-SA"/>
      </w:rPr>
    </w:lvl>
    <w:lvl w:ilvl="4">
      <w:start w:val="0"/>
      <w:numFmt w:val="bullet"/>
      <w:lvlText w:val="•"/>
      <w:lvlJc w:val="left"/>
      <w:pPr>
        <w:ind w:left="4497" w:hanging="178"/>
      </w:pPr>
      <w:rPr>
        <w:rFonts w:hint="default"/>
        <w:lang w:val="en-US" w:eastAsia="en-US" w:bidi="ar-SA"/>
      </w:rPr>
    </w:lvl>
    <w:lvl w:ilvl="5">
      <w:start w:val="0"/>
      <w:numFmt w:val="bullet"/>
      <w:lvlText w:val="•"/>
      <w:lvlJc w:val="left"/>
      <w:pPr>
        <w:ind w:left="5307" w:hanging="178"/>
      </w:pPr>
      <w:rPr>
        <w:rFonts w:hint="default"/>
        <w:lang w:val="en-US" w:eastAsia="en-US" w:bidi="ar-SA"/>
      </w:rPr>
    </w:lvl>
    <w:lvl w:ilvl="6">
      <w:start w:val="0"/>
      <w:numFmt w:val="bullet"/>
      <w:lvlText w:val="•"/>
      <w:lvlJc w:val="left"/>
      <w:pPr>
        <w:ind w:left="6116" w:hanging="178"/>
      </w:pPr>
      <w:rPr>
        <w:rFonts w:hint="default"/>
        <w:lang w:val="en-US" w:eastAsia="en-US" w:bidi="ar-SA"/>
      </w:rPr>
    </w:lvl>
    <w:lvl w:ilvl="7">
      <w:start w:val="0"/>
      <w:numFmt w:val="bullet"/>
      <w:lvlText w:val="•"/>
      <w:lvlJc w:val="left"/>
      <w:pPr>
        <w:ind w:left="6925" w:hanging="178"/>
      </w:pPr>
      <w:rPr>
        <w:rFonts w:hint="default"/>
        <w:lang w:val="en-US" w:eastAsia="en-US" w:bidi="ar-SA"/>
      </w:rPr>
    </w:lvl>
    <w:lvl w:ilvl="8">
      <w:start w:val="0"/>
      <w:numFmt w:val="bullet"/>
      <w:lvlText w:val="•"/>
      <w:lvlJc w:val="left"/>
      <w:pPr>
        <w:ind w:left="7735" w:hanging="178"/>
      </w:pPr>
      <w:rPr>
        <w:rFonts w:hint="default"/>
        <w:lang w:val="en-US" w:eastAsia="en-US" w:bidi="ar-SA"/>
      </w:rPr>
    </w:lvl>
  </w:abstractNum>
  <w:abstractNum w:abstractNumId="0">
    <w:multiLevelType w:val="hybridMultilevel"/>
    <w:lvl w:ilvl="0">
      <w:start w:val="1"/>
      <w:numFmt w:val="upperRoman"/>
      <w:lvlText w:val="%1."/>
      <w:lvlJc w:val="left"/>
      <w:pPr>
        <w:ind w:left="1094" w:hanging="514"/>
        <w:jc w:val="right"/>
      </w:pPr>
      <w:rPr>
        <w:rFonts w:hint="default" w:ascii="Times New Roman" w:hAnsi="Times New Roman" w:eastAsia="Times New Roman" w:cs="Times New Roman"/>
        <w:b/>
        <w:bCs/>
        <w:i w:val="0"/>
        <w:iCs w:val="0"/>
        <w:spacing w:val="-3"/>
        <w:w w:val="100"/>
        <w:sz w:val="24"/>
        <w:szCs w:val="24"/>
        <w:lang w:val="en-US" w:eastAsia="en-US" w:bidi="ar-SA"/>
      </w:rPr>
    </w:lvl>
    <w:lvl w:ilvl="1">
      <w:start w:val="0"/>
      <w:numFmt w:val="bullet"/>
      <w:lvlText w:val="•"/>
      <w:lvlJc w:val="left"/>
      <w:pPr>
        <w:ind w:left="1925" w:hanging="514"/>
      </w:pPr>
      <w:rPr>
        <w:rFonts w:hint="default"/>
        <w:lang w:val="en-US" w:eastAsia="en-US" w:bidi="ar-SA"/>
      </w:rPr>
    </w:lvl>
    <w:lvl w:ilvl="2">
      <w:start w:val="0"/>
      <w:numFmt w:val="bullet"/>
      <w:lvlText w:val="•"/>
      <w:lvlJc w:val="left"/>
      <w:pPr>
        <w:ind w:left="2750" w:hanging="514"/>
      </w:pPr>
      <w:rPr>
        <w:rFonts w:hint="default"/>
        <w:lang w:val="en-US" w:eastAsia="en-US" w:bidi="ar-SA"/>
      </w:rPr>
    </w:lvl>
    <w:lvl w:ilvl="3">
      <w:start w:val="0"/>
      <w:numFmt w:val="bullet"/>
      <w:lvlText w:val="•"/>
      <w:lvlJc w:val="left"/>
      <w:pPr>
        <w:ind w:left="3576" w:hanging="514"/>
      </w:pPr>
      <w:rPr>
        <w:rFonts w:hint="default"/>
        <w:lang w:val="en-US" w:eastAsia="en-US" w:bidi="ar-SA"/>
      </w:rPr>
    </w:lvl>
    <w:lvl w:ilvl="4">
      <w:start w:val="0"/>
      <w:numFmt w:val="bullet"/>
      <w:lvlText w:val="•"/>
      <w:lvlJc w:val="left"/>
      <w:pPr>
        <w:ind w:left="4401" w:hanging="514"/>
      </w:pPr>
      <w:rPr>
        <w:rFonts w:hint="default"/>
        <w:lang w:val="en-US" w:eastAsia="en-US" w:bidi="ar-SA"/>
      </w:rPr>
    </w:lvl>
    <w:lvl w:ilvl="5">
      <w:start w:val="0"/>
      <w:numFmt w:val="bullet"/>
      <w:lvlText w:val="•"/>
      <w:lvlJc w:val="left"/>
      <w:pPr>
        <w:ind w:left="5227" w:hanging="514"/>
      </w:pPr>
      <w:rPr>
        <w:rFonts w:hint="default"/>
        <w:lang w:val="en-US" w:eastAsia="en-US" w:bidi="ar-SA"/>
      </w:rPr>
    </w:lvl>
    <w:lvl w:ilvl="6">
      <w:start w:val="0"/>
      <w:numFmt w:val="bullet"/>
      <w:lvlText w:val="•"/>
      <w:lvlJc w:val="left"/>
      <w:pPr>
        <w:ind w:left="6052" w:hanging="514"/>
      </w:pPr>
      <w:rPr>
        <w:rFonts w:hint="default"/>
        <w:lang w:val="en-US" w:eastAsia="en-US" w:bidi="ar-SA"/>
      </w:rPr>
    </w:lvl>
    <w:lvl w:ilvl="7">
      <w:start w:val="0"/>
      <w:numFmt w:val="bullet"/>
      <w:lvlText w:val="•"/>
      <w:lvlJc w:val="left"/>
      <w:pPr>
        <w:ind w:left="6877" w:hanging="514"/>
      </w:pPr>
      <w:rPr>
        <w:rFonts w:hint="default"/>
        <w:lang w:val="en-US" w:eastAsia="en-US" w:bidi="ar-SA"/>
      </w:rPr>
    </w:lvl>
    <w:lvl w:ilvl="8">
      <w:start w:val="0"/>
      <w:numFmt w:val="bullet"/>
      <w:lvlText w:val="•"/>
      <w:lvlJc w:val="left"/>
      <w:pPr>
        <w:ind w:left="7703" w:hanging="514"/>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jc w:val="both"/>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1449" w:hanging="686"/>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75" w:hanging="701"/>
      <w:outlineLvl w:val="2"/>
    </w:pPr>
    <w:rPr>
      <w:rFonts w:ascii="Times New Roman" w:hAnsi="Times New Roman" w:eastAsia="Times New Roman" w:cs="Times New Roman"/>
      <w:sz w:val="24"/>
      <w:szCs w:val="24"/>
      <w:lang w:val="en-US" w:eastAsia="en-US" w:bidi="ar-SA"/>
    </w:rPr>
  </w:style>
  <w:style w:styleId="Heading3" w:type="paragraph">
    <w:name w:val="Heading 3"/>
    <w:basedOn w:val="Normal"/>
    <w:uiPriority w:val="1"/>
    <w:qFormat/>
    <w:pPr>
      <w:ind w:left="1794" w:hanging="705"/>
      <w:jc w:val="both"/>
      <w:outlineLvl w:val="3"/>
    </w:pPr>
    <w:rPr>
      <w:rFonts w:ascii="Times New Roman" w:hAnsi="Times New Roman" w:eastAsia="Times New Roman" w:cs="Times New Roman"/>
      <w:b/>
      <w:bCs/>
      <w:sz w:val="20"/>
      <w:szCs w:val="20"/>
      <w:lang w:val="en-US" w:eastAsia="en-US" w:bidi="ar-SA"/>
    </w:rPr>
  </w:style>
  <w:style w:styleId="Heading4" w:type="paragraph">
    <w:name w:val="Heading 4"/>
    <w:basedOn w:val="Normal"/>
    <w:uiPriority w:val="1"/>
    <w:qFormat/>
    <w:pPr>
      <w:ind w:left="734"/>
      <w:outlineLvl w:val="4"/>
    </w:pPr>
    <w:rPr>
      <w:rFonts w:ascii="Times New Roman" w:hAnsi="Times New Roman" w:eastAsia="Times New Roman" w:cs="Times New Roman"/>
      <w:b/>
      <w:bCs/>
      <w:i/>
      <w:iCs/>
      <w:sz w:val="20"/>
      <w:szCs w:val="20"/>
      <w:lang w:val="en-US" w:eastAsia="en-US" w:bidi="ar-SA"/>
    </w:rPr>
  </w:style>
  <w:style w:styleId="Title" w:type="paragraph">
    <w:name w:val="Title"/>
    <w:basedOn w:val="Normal"/>
    <w:uiPriority w:val="1"/>
    <w:qFormat/>
    <w:pPr>
      <w:spacing w:before="209"/>
      <w:ind w:left="1704" w:right="554" w:hanging="1489"/>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734" w:hanging="611"/>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11"/>
      <w:ind w:left="109"/>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jpeg"/><Relationship Id="rId10" Type="http://schemas.openxmlformats.org/officeDocument/2006/relationships/hyperlink" Target="https://www.ibfd.org/IBFD-Products/Journal-Articles/Bulletin-for-International-Taxation/collections/bit/html/bit_2014_06_o2_11.html" TargetMode="External"/><Relationship Id="rId11" Type="http://schemas.openxmlformats.org/officeDocument/2006/relationships/hyperlink" Target="https://www.ibfd.org/IBFD-Products/Journal-Articles/Bulletin-for-International-Taxation/collections/bit/html/bit_2016_12_o2_1.html" TargetMode="External"/><Relationship Id="rId12" Type="http://schemas.openxmlformats.org/officeDocument/2006/relationships/hyperlink" Target="https://www.cbr.ru/eng/statistics/macro_itm/svs/" TargetMode="External"/><Relationship Id="rId13" Type="http://schemas.openxmlformats.org/officeDocument/2006/relationships/hyperlink" Target="https://www.bloomberg.com/opinion/articles/2019-11-06/where-russia-s-foreign-investment-really-comes-from" TargetMode="External"/><Relationship Id="rId14" Type="http://schemas.openxmlformats.org/officeDocument/2006/relationships/hyperlink" Target="https://doi.org/10.1088/1742-6596/1333/3/032064" TargetMode="External"/><Relationship Id="rId15" Type="http://schemas.openxmlformats.org/officeDocument/2006/relationships/hyperlink" Target="http://minnjil.org/wp-content/uploads/2015/11/Allison-Christians_-Sovereignty-Taxation-and-Social-Contract.pdf" TargetMode="External"/><Relationship Id="rId16" Type="http://schemas.openxmlformats.org/officeDocument/2006/relationships/hyperlink" Target="http://publication.pravo.gov.ru/Document/Text/0001201905010022" TargetMode="External"/><Relationship Id="rId17" Type="http://schemas.openxmlformats.org/officeDocument/2006/relationships/hyperlink" Target="https://doi.org/10.1515/ntaxj-2018-0001" TargetMode="External"/><Relationship Id="rId18" Type="http://schemas.openxmlformats.org/officeDocument/2006/relationships/hyperlink" Target="https://www.internationaltaxreview.com/article/b1f7n2f6tqcfyx/mli-testing-the-principal-purpose" TargetMode="External"/><Relationship Id="rId19" Type="http://schemas.openxmlformats.org/officeDocument/2006/relationships/hyperlink" Target="https://doi.org/10.1088/1742-6596/1015/3/032084" TargetMode="External"/><Relationship Id="rId20" Type="http://schemas.openxmlformats.org/officeDocument/2006/relationships/hyperlink" Target="http://doi.org/10.9770/jesi.2017.5.2(8)" TargetMode="External"/><Relationship Id="rId21" Type="http://schemas.openxmlformats.org/officeDocument/2006/relationships/hyperlink" Target="https://doi.org/10.1093/arbint/aiy004" TargetMode="External"/><Relationship Id="rId22" Type="http://schemas.openxmlformats.org/officeDocument/2006/relationships/hyperlink" Target="https://www.thetaxadviser.com/news/2016/may/reporting-requirements-on-foreign-owned-disregarded-entities-201614384.html" TargetMode="External"/><Relationship Id="rId23" Type="http://schemas.openxmlformats.org/officeDocument/2006/relationships/hyperlink" Target="http://www.oecd.org/tax/making-dispute-resolution-mechanisms-more-effective-action-14-2015-final-report-9789264241633-en.htm" TargetMode="External"/><Relationship Id="rId24" Type="http://schemas.openxmlformats.org/officeDocument/2006/relationships/hyperlink" Target="https://www.oecd.org/tax/treaties/multilateral-convention-to-implement-tax-treaty-related-measures-to-prevent-BEPS.pdf" TargetMode="External"/><Relationship Id="rId25" Type="http://schemas.openxmlformats.org/officeDocument/2006/relationships/hyperlink" Target="https://www.oecd.org/tax/treaties/explanatory-statement-multilateral-convention-to-implement-tax-treaty-related-measures-to-prevent-BEPS.pdf" TargetMode="External"/><Relationship Id="rId26" Type="http://schemas.openxmlformats.org/officeDocument/2006/relationships/hyperlink" Target="http://www.oecd.org/tax/treaties/beps-mli-position-russian-federation-instrument-deposit.pdf" TargetMode="External"/><Relationship Id="rId27" Type="http://schemas.openxmlformats.org/officeDocument/2006/relationships/hyperlink" Target="http://www.oecd.org/tax/beps/beps-mli-signatories-and-parties.pdf" TargetMode="External"/><Relationship Id="rId28" Type="http://schemas.openxmlformats.org/officeDocument/2006/relationships/hyperlink" Target="http://doi.org/10.9770/jesi.2018.6.2(16)" TargetMode="External"/><Relationship Id="rId29" Type="http://schemas.openxmlformats.org/officeDocument/2006/relationships/hyperlink" Target="https://translate.google.com.ua/translate?hl=ru&amp;tab=wT&amp;sl=auto&amp;tl=en&amp;u=https%3A%2F%2Frulaws.ru%2Facts%2FPlan-deyatelnosti-Ministerstva-finansov-Rossiyskoy-Federatsii-na-2019---2024-gody%2F" TargetMode="External"/><Relationship Id="rId30" Type="http://schemas.openxmlformats.org/officeDocument/2006/relationships/hyperlink" Target="http://doi.org/10.9770/jesi.2019.7.1(6)" TargetMode="External"/><Relationship Id="rId31" Type="http://schemas.openxmlformats.org/officeDocument/2006/relationships/hyperlink" Target="https://doi.org/10.1088/1742-6596/1015/4/042056" TargetMode="External"/><Relationship Id="rId32" Type="http://schemas.openxmlformats.org/officeDocument/2006/relationships/hyperlink" Target="https://legalacts.ru/sud/opredelenie-verkhovnogo-suda-rf-ot-31102019-n-307-es19-14265-po-delu-n-a13-139432015/" TargetMode="External"/><Relationship Id="rId33" Type="http://schemas.openxmlformats.org/officeDocument/2006/relationships/hyperlink" Target="https://www.loc.gov/item/usrep293465/" TargetMode="External"/><Relationship Id="rId34" Type="http://schemas.openxmlformats.org/officeDocument/2006/relationships/hyperlink" Target="http://treaties.un.org/doc/Publication/UNTS/Volume%201155/v1155.pdf" TargetMode="External"/><Relationship Id="rId35" Type="http://schemas.openxmlformats.org/officeDocument/2006/relationships/hyperlink" Target="https://treaties.un.org/doc/Publication/UNTS/Volume%201155/v1155.pdf" TargetMode="External"/><Relationship Id="rId36" Type="http://schemas.openxmlformats.org/officeDocument/2006/relationships/hyperlink" Target="https://doi.org/10.2139/ssrn.2528044" TargetMode="External"/><Relationship Id="rId37" Type="http://schemas.openxmlformats.org/officeDocument/2006/relationships/hyperlink" Target="https://doi.org/10.9770/jesi.2018.6.2(24)" TargetMode="External"/><Relationship Id="rId3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ОВР</dc:creator>
  <dcterms:created xsi:type="dcterms:W3CDTF">2026-07-31T05:28:32Z</dcterms:created>
  <dcterms:modified xsi:type="dcterms:W3CDTF">2026-07-31T05:28:32Z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2020-05-29T00:00:00Z</vt:filetime>
  </property>
  <property fmtid="{D5CDD505-2E9C-101B-9397-08002B2CF9AE}" pid="4" name="Creator">
    <vt:lpwstr>Microsoft® Word 2013</vt:lpwstr>
  </property>
  <property fmtid="{D5CDD505-2E9C-101B-9397-08002B2CF9AE}" pid="5" name="LastSaved">
    <vt:filetime>2026-07-31T00:00:00Z</vt:filetime>
  </property>
  <property fmtid="{D5CDD505-2E9C-101B-9397-08002B2CF9AE}" pid="6" name="Producer">
    <vt:lpwstr>Microsoft® Word 2013</vt:lpwstr>
  </property>
</Properties>
</file>